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35A9B0" w14:textId="70CA648F" w:rsidR="007560B7" w:rsidRDefault="007560B7" w:rsidP="003520EB">
      <w:pPr>
        <w:tabs>
          <w:tab w:val="right" w:pos="9360"/>
          <w:tab w:val="right" w:pos="9781"/>
        </w:tabs>
        <w:ind w:right="-58"/>
        <w:rPr>
          <w:rFonts w:ascii="Arial" w:hAnsi="Arial" w:cs="Arial"/>
          <w:b/>
          <w:bCs/>
          <w:sz w:val="28"/>
        </w:rPr>
      </w:pPr>
      <w:bookmarkStart w:id="0" w:name="_Hlk506372364"/>
      <w:bookmarkStart w:id="1" w:name="OLE_LINK6"/>
      <w:bookmarkStart w:id="2" w:name="OLE_LINK7"/>
      <w:r>
        <w:rPr>
          <w:rFonts w:ascii="Arial" w:hAnsi="Arial" w:cs="Arial"/>
          <w:b/>
          <w:bCs/>
          <w:sz w:val="28"/>
        </w:rPr>
        <w:t xml:space="preserve">3GPP TSG RAN WG1 Meeting </w:t>
      </w:r>
      <w:r w:rsidR="003520EB">
        <w:rPr>
          <w:rFonts w:ascii="Arial" w:hAnsi="Arial" w:cs="Arial"/>
          <w:b/>
          <w:bCs/>
          <w:sz w:val="28"/>
        </w:rPr>
        <w:t>#92</w:t>
      </w:r>
      <w:r w:rsidR="003520EB">
        <w:rPr>
          <w:rFonts w:ascii="Arial" w:hAnsi="Arial" w:cs="Arial"/>
          <w:b/>
          <w:bCs/>
          <w:sz w:val="28"/>
        </w:rPr>
        <w:tab/>
      </w:r>
      <w:r w:rsidR="000E14A5">
        <w:rPr>
          <w:rFonts w:ascii="Arial" w:hAnsi="Arial" w:cs="Arial"/>
          <w:b/>
          <w:bCs/>
          <w:sz w:val="28"/>
        </w:rPr>
        <w:t xml:space="preserve">                            </w:t>
      </w:r>
      <w:r w:rsidR="00253E06">
        <w:rPr>
          <w:rFonts w:ascii="Arial" w:hAnsi="Arial" w:cs="Arial"/>
          <w:b/>
          <w:bCs/>
          <w:sz w:val="28"/>
        </w:rPr>
        <w:t xml:space="preserve">     </w:t>
      </w:r>
      <w:r w:rsidR="00335B11" w:rsidRPr="00335B11">
        <w:rPr>
          <w:rFonts w:ascii="Arial" w:hAnsi="Arial" w:cs="Arial"/>
          <w:b/>
          <w:bCs/>
          <w:sz w:val="28"/>
        </w:rPr>
        <w:t>R1-</w:t>
      </w:r>
      <w:r w:rsidR="00C74069">
        <w:rPr>
          <w:rFonts w:ascii="Arial" w:hAnsi="Arial" w:cs="Arial"/>
          <w:b/>
          <w:bCs/>
          <w:sz w:val="28"/>
        </w:rPr>
        <w:t>1</w:t>
      </w:r>
      <w:r w:rsidR="003520EB">
        <w:rPr>
          <w:rFonts w:ascii="Arial" w:hAnsi="Arial" w:cs="Arial"/>
          <w:b/>
          <w:bCs/>
          <w:sz w:val="28"/>
        </w:rPr>
        <w:t>8</w:t>
      </w:r>
      <w:r w:rsidR="00ED4DA0">
        <w:rPr>
          <w:rFonts w:ascii="Arial" w:hAnsi="Arial" w:cs="Arial"/>
          <w:b/>
          <w:bCs/>
          <w:sz w:val="28"/>
        </w:rPr>
        <w:t>02866</w:t>
      </w:r>
    </w:p>
    <w:p w14:paraId="53F8AAB6" w14:textId="77777777" w:rsidR="003520EB" w:rsidRDefault="003520EB" w:rsidP="003520EB">
      <w:pPr>
        <w:tabs>
          <w:tab w:val="center" w:pos="4536"/>
          <w:tab w:val="right" w:pos="9072"/>
        </w:tabs>
        <w:jc w:val="left"/>
        <w:rPr>
          <w:rFonts w:ascii="Arial" w:hAnsi="Arial" w:cs="Arial"/>
          <w:b/>
          <w:bCs/>
          <w:kern w:val="0"/>
          <w:sz w:val="28"/>
        </w:rPr>
      </w:pPr>
      <w:r>
        <w:rPr>
          <w:rFonts w:ascii="Arial" w:hAnsi="Arial" w:cs="Arial"/>
          <w:b/>
          <w:bCs/>
          <w:kern w:val="0"/>
          <w:sz w:val="28"/>
        </w:rPr>
        <w:t>Athens</w:t>
      </w:r>
      <w:r w:rsidR="002A1710">
        <w:rPr>
          <w:rFonts w:ascii="Arial" w:hAnsi="Arial" w:cs="Arial"/>
          <w:b/>
          <w:bCs/>
          <w:kern w:val="0"/>
          <w:sz w:val="28"/>
        </w:rPr>
        <w:t xml:space="preserve">, </w:t>
      </w:r>
      <w:r>
        <w:rPr>
          <w:rFonts w:ascii="Arial" w:hAnsi="Arial" w:cs="Arial"/>
          <w:b/>
          <w:bCs/>
          <w:kern w:val="0"/>
          <w:sz w:val="28"/>
        </w:rPr>
        <w:t>Greece</w:t>
      </w:r>
    </w:p>
    <w:p w14:paraId="7B424D61" w14:textId="09EC7EA9" w:rsidR="007560B7" w:rsidRDefault="003520EB" w:rsidP="003520EB">
      <w:pPr>
        <w:tabs>
          <w:tab w:val="center" w:pos="4536"/>
          <w:tab w:val="right" w:pos="9072"/>
        </w:tabs>
        <w:jc w:val="left"/>
        <w:rPr>
          <w:rFonts w:ascii="Arial" w:hAnsi="Arial" w:cs="Arial"/>
          <w:b/>
          <w:bCs/>
          <w:kern w:val="0"/>
          <w:sz w:val="28"/>
        </w:rPr>
      </w:pPr>
      <w:r>
        <w:rPr>
          <w:rFonts w:ascii="Arial" w:hAnsi="Arial" w:cs="Arial"/>
          <w:b/>
          <w:bCs/>
          <w:kern w:val="0"/>
          <w:sz w:val="28"/>
        </w:rPr>
        <w:t xml:space="preserve">Feb </w:t>
      </w:r>
      <w:r w:rsidR="00BE411F">
        <w:rPr>
          <w:rFonts w:ascii="Arial" w:hAnsi="Arial" w:cs="Arial"/>
          <w:b/>
          <w:bCs/>
          <w:kern w:val="0"/>
          <w:sz w:val="28"/>
        </w:rPr>
        <w:t>26</w:t>
      </w:r>
      <w:r w:rsidRPr="003520EB">
        <w:rPr>
          <w:rFonts w:ascii="Arial" w:hAnsi="Arial" w:cs="Arial"/>
          <w:b/>
          <w:bCs/>
          <w:kern w:val="0"/>
          <w:sz w:val="28"/>
          <w:vertAlign w:val="superscript"/>
        </w:rPr>
        <w:t>th</w:t>
      </w:r>
      <w:r>
        <w:rPr>
          <w:rFonts w:ascii="Arial" w:hAnsi="Arial" w:cs="Arial"/>
          <w:b/>
          <w:bCs/>
          <w:kern w:val="0"/>
          <w:sz w:val="28"/>
        </w:rPr>
        <w:t xml:space="preserve"> – Mar 2</w:t>
      </w:r>
      <w:r w:rsidRPr="003520EB">
        <w:rPr>
          <w:rFonts w:ascii="Arial" w:hAnsi="Arial" w:cs="Arial"/>
          <w:b/>
          <w:bCs/>
          <w:kern w:val="0"/>
          <w:sz w:val="28"/>
          <w:vertAlign w:val="superscript"/>
        </w:rPr>
        <w:t>nd</w:t>
      </w:r>
      <w:r>
        <w:rPr>
          <w:rFonts w:ascii="Arial" w:hAnsi="Arial" w:cs="Arial"/>
          <w:b/>
          <w:bCs/>
          <w:kern w:val="0"/>
          <w:sz w:val="28"/>
        </w:rPr>
        <w:t xml:space="preserve">, </w:t>
      </w:r>
      <w:r w:rsidR="002A1710">
        <w:rPr>
          <w:rFonts w:ascii="Arial" w:hAnsi="Arial" w:cs="Arial"/>
          <w:b/>
          <w:bCs/>
          <w:kern w:val="0"/>
          <w:sz w:val="28"/>
        </w:rPr>
        <w:t>201</w:t>
      </w:r>
      <w:r w:rsidR="00D5091A">
        <w:rPr>
          <w:rFonts w:ascii="Arial" w:hAnsi="Arial" w:cs="Arial"/>
          <w:b/>
          <w:bCs/>
          <w:kern w:val="0"/>
          <w:sz w:val="28"/>
        </w:rPr>
        <w:t>8</w:t>
      </w:r>
    </w:p>
    <w:bookmarkEnd w:id="0"/>
    <w:p w14:paraId="2D93957C" w14:textId="77777777" w:rsidR="003520EB" w:rsidRPr="000F29F8" w:rsidRDefault="003520EB" w:rsidP="003520EB">
      <w:pPr>
        <w:tabs>
          <w:tab w:val="center" w:pos="4536"/>
          <w:tab w:val="right" w:pos="9072"/>
        </w:tabs>
        <w:jc w:val="left"/>
        <w:rPr>
          <w:rFonts w:ascii="Arial" w:eastAsia="SimSun" w:hAnsi="Arial" w:cs="Arial"/>
          <w:b/>
          <w:kern w:val="0"/>
          <w:sz w:val="24"/>
          <w:lang w:eastAsia="en-US"/>
        </w:rPr>
      </w:pPr>
    </w:p>
    <w:p w14:paraId="399F8BF5" w14:textId="074ACA05" w:rsidR="007560B7" w:rsidRPr="000F29F8" w:rsidRDefault="007560B7" w:rsidP="007560B7">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Pr="000F29F8">
        <w:rPr>
          <w:rFonts w:ascii="Arial" w:hAnsi="Arial" w:cs="Arial"/>
          <w:snapToGrid w:val="0"/>
          <w:sz w:val="24"/>
        </w:rPr>
        <w:t xml:space="preserve"> </w:t>
      </w:r>
      <w:r w:rsidR="00335B11">
        <w:rPr>
          <w:rFonts w:ascii="Arial" w:hAnsi="Arial" w:cs="Arial"/>
          <w:snapToGrid w:val="0"/>
          <w:sz w:val="24"/>
        </w:rPr>
        <w:t xml:space="preserve">   </w:t>
      </w:r>
      <w:r w:rsidR="003520EB">
        <w:rPr>
          <w:rFonts w:ascii="Arial" w:hAnsi="Arial" w:cs="Arial"/>
          <w:snapToGrid w:val="0"/>
          <w:sz w:val="24"/>
        </w:rPr>
        <w:t>7.6.5</w:t>
      </w:r>
    </w:p>
    <w:p w14:paraId="38C90A73" w14:textId="77777777" w:rsidR="007560B7" w:rsidRPr="001903B5" w:rsidRDefault="007560B7" w:rsidP="007560B7">
      <w:pPr>
        <w:wordWrap/>
        <w:adjustRightInd w:val="0"/>
        <w:snapToGrid w:val="0"/>
        <w:spacing w:line="360" w:lineRule="auto"/>
        <w:rPr>
          <w:rFonts w:ascii="Arial" w:hAnsi="Arial"/>
          <w:sz w:val="24"/>
        </w:rPr>
      </w:pPr>
      <w:r w:rsidRPr="000F29F8">
        <w:rPr>
          <w:rFonts w:ascii="Arial" w:hAnsi="Arial" w:cs="Arial"/>
          <w:b/>
          <w:snapToGrid w:val="0"/>
          <w:sz w:val="24"/>
        </w:rPr>
        <w:t>Source:</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Qualcomm</w:t>
      </w:r>
      <w:r w:rsidRPr="00321217">
        <w:rPr>
          <w:rFonts w:ascii="Arial" w:eastAsia="SimSun" w:hAnsi="Arial" w:cs="Arial" w:hint="eastAsia"/>
          <w:snapToGrid w:val="0"/>
          <w:sz w:val="24"/>
          <w:lang w:eastAsia="zh-CN"/>
        </w:rPr>
        <w:t xml:space="preserve"> </w:t>
      </w:r>
      <w:r>
        <w:rPr>
          <w:rFonts w:ascii="Arial" w:hAnsi="Arial"/>
          <w:sz w:val="24"/>
        </w:rPr>
        <w:t>Incorporated</w:t>
      </w:r>
    </w:p>
    <w:p w14:paraId="7FABE148" w14:textId="06DB71F7" w:rsidR="00335B11"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Pr>
          <w:rFonts w:ascii="Arial" w:hAnsi="Arial" w:cs="Arial"/>
          <w:b/>
          <w:snapToGrid w:val="0"/>
          <w:sz w:val="24"/>
        </w:rPr>
        <w:t xml:space="preserve">                 </w:t>
      </w:r>
      <w:bookmarkStart w:id="3" w:name="_Hlk506208025"/>
      <w:r w:rsidR="003D42DC" w:rsidRPr="003D42DC">
        <w:rPr>
          <w:rFonts w:ascii="Arial" w:hAnsi="Arial" w:cs="Arial"/>
          <w:snapToGrid w:val="0"/>
          <w:sz w:val="24"/>
        </w:rPr>
        <w:t xml:space="preserve">TxOP </w:t>
      </w:r>
      <w:r w:rsidR="003D42DC">
        <w:rPr>
          <w:rFonts w:ascii="Arial" w:hAnsi="Arial" w:cs="Arial"/>
          <w:snapToGrid w:val="0"/>
          <w:sz w:val="24"/>
        </w:rPr>
        <w:t>Frame Structure for NR unlicensed</w:t>
      </w:r>
      <w:bookmarkEnd w:id="3"/>
    </w:p>
    <w:p w14:paraId="62BEAD57" w14:textId="737004AB" w:rsidR="007560B7" w:rsidRPr="000F29F8"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Discussion</w:t>
      </w:r>
      <w:r w:rsidRPr="00321217">
        <w:rPr>
          <w:rFonts w:ascii="Arial" w:eastAsia="SimSun" w:hAnsi="Arial" w:cs="Arial" w:hint="eastAsia"/>
          <w:snapToGrid w:val="0"/>
          <w:sz w:val="24"/>
          <w:lang w:eastAsia="zh-CN"/>
        </w:rPr>
        <w:t xml:space="preserve"> and </w:t>
      </w:r>
      <w:r>
        <w:rPr>
          <w:rFonts w:ascii="Arial" w:hAnsi="Arial" w:cs="Arial"/>
          <w:snapToGrid w:val="0"/>
          <w:sz w:val="24"/>
        </w:rPr>
        <w:t>Decision</w:t>
      </w:r>
    </w:p>
    <w:p w14:paraId="7AB7E55C" w14:textId="77777777" w:rsidR="00E80D0C" w:rsidRPr="00392E7D" w:rsidRDefault="00E80D0C" w:rsidP="003520EB">
      <w:pPr>
        <w:pStyle w:val="Heading1"/>
      </w:pPr>
      <w:r w:rsidRPr="00392E7D">
        <w:t>Introduction</w:t>
      </w:r>
    </w:p>
    <w:p w14:paraId="4C40BCE8" w14:textId="501C0B69" w:rsidR="00B559A2" w:rsidRPr="0099677A" w:rsidRDefault="00B559A2" w:rsidP="00594582">
      <w:pPr>
        <w:pStyle w:val="LGTdoc1"/>
        <w:spacing w:beforeLines="0" w:before="120" w:after="220" w:afterAutospacing="0"/>
        <w:rPr>
          <w:b w:val="0"/>
          <w:sz w:val="20"/>
        </w:rPr>
      </w:pPr>
      <w:r w:rsidRPr="0099677A">
        <w:rPr>
          <w:b w:val="0"/>
          <w:sz w:val="20"/>
        </w:rPr>
        <w:t xml:space="preserve">In RAN#76 a new SI [1] for NR based access to unlicensed spectrum was introduced. The objectives of the SI </w:t>
      </w:r>
      <w:r w:rsidR="001D3F02" w:rsidRPr="0099677A">
        <w:rPr>
          <w:b w:val="0"/>
          <w:sz w:val="20"/>
        </w:rPr>
        <w:t>are as follows:</w:t>
      </w:r>
    </w:p>
    <w:p w14:paraId="6CC6F56E" w14:textId="77777777" w:rsidR="00B559A2" w:rsidRPr="0099677A" w:rsidRDefault="00B559A2" w:rsidP="007064DF">
      <w:pPr>
        <w:widowControl/>
        <w:numPr>
          <w:ilvl w:val="0"/>
          <w:numId w:val="18"/>
        </w:numPr>
        <w:wordWrap/>
        <w:overflowPunct w:val="0"/>
        <w:adjustRightInd w:val="0"/>
        <w:ind w:left="360"/>
        <w:jc w:val="left"/>
        <w:textAlignment w:val="baseline"/>
        <w:rPr>
          <w:rFonts w:ascii="Times New Roman"/>
          <w:bCs/>
          <w:szCs w:val="20"/>
        </w:rPr>
      </w:pPr>
      <w:r w:rsidRPr="0099677A">
        <w:rPr>
          <w:rFonts w:ascii="Times New Roman"/>
          <w:bCs/>
          <w:szCs w:val="20"/>
        </w:rPr>
        <w:t xml:space="preserve">Study NR-based operation in unlicensed spectrum (RAN1, RAN2, RAN4) including </w:t>
      </w:r>
    </w:p>
    <w:p w14:paraId="27C26D35" w14:textId="77777777" w:rsidR="00B559A2" w:rsidRPr="0099677A" w:rsidRDefault="00B559A2" w:rsidP="007064DF">
      <w:pPr>
        <w:widowControl/>
        <w:numPr>
          <w:ilvl w:val="1"/>
          <w:numId w:val="19"/>
        </w:numPr>
        <w:wordWrap/>
        <w:overflowPunct w:val="0"/>
        <w:adjustRightInd w:val="0"/>
        <w:ind w:left="1080"/>
        <w:jc w:val="left"/>
        <w:textAlignment w:val="baseline"/>
        <w:rPr>
          <w:rFonts w:ascii="Times New Roman"/>
          <w:bCs/>
          <w:szCs w:val="20"/>
        </w:rPr>
      </w:pPr>
      <w:r w:rsidRPr="0099677A">
        <w:rPr>
          <w:rFonts w:ascii="Times New Roman"/>
          <w:bCs/>
          <w:szCs w:val="20"/>
        </w:rPr>
        <w:t>Physical channels inheriting the choices of duplex mode, waveform, carrier bandwidth, subcarrier spacing, frame structure, and physical layer design made as part of the NR study and avoiding unnecessary divergence with decisions made in the NR WI</w:t>
      </w:r>
    </w:p>
    <w:p w14:paraId="68E441A0" w14:textId="77777777" w:rsidR="00B559A2" w:rsidRPr="0099677A" w:rsidRDefault="00B559A2" w:rsidP="007064DF">
      <w:pPr>
        <w:widowControl/>
        <w:numPr>
          <w:ilvl w:val="2"/>
          <w:numId w:val="19"/>
        </w:numPr>
        <w:wordWrap/>
        <w:overflowPunct w:val="0"/>
        <w:adjustRightInd w:val="0"/>
        <w:ind w:left="1800"/>
        <w:jc w:val="left"/>
        <w:textAlignment w:val="baseline"/>
        <w:rPr>
          <w:rFonts w:ascii="Times New Roman"/>
          <w:bCs/>
          <w:szCs w:val="20"/>
        </w:rPr>
      </w:pPr>
      <w:r w:rsidRPr="0099677A">
        <w:rPr>
          <w:rFonts w:ascii="Times New Roman"/>
          <w:bCs/>
          <w:szCs w:val="20"/>
        </w:rPr>
        <w:t>Consider unlicensed bands both below and above 6GHz, up to 52.6GHz</w:t>
      </w:r>
    </w:p>
    <w:p w14:paraId="17B679E2" w14:textId="77777777" w:rsidR="00B559A2" w:rsidRPr="0099677A" w:rsidRDefault="00B559A2" w:rsidP="007064DF">
      <w:pPr>
        <w:widowControl/>
        <w:numPr>
          <w:ilvl w:val="2"/>
          <w:numId w:val="19"/>
        </w:numPr>
        <w:wordWrap/>
        <w:overflowPunct w:val="0"/>
        <w:adjustRightInd w:val="0"/>
        <w:ind w:left="1800"/>
        <w:jc w:val="left"/>
        <w:textAlignment w:val="baseline"/>
        <w:rPr>
          <w:rFonts w:ascii="Times New Roman"/>
          <w:bCs/>
          <w:szCs w:val="20"/>
        </w:rPr>
      </w:pPr>
      <w:r w:rsidRPr="0099677A">
        <w:rPr>
          <w:rFonts w:ascii="Times New Roman"/>
          <w:bCs/>
          <w:szCs w:val="20"/>
        </w:rPr>
        <w:t xml:space="preserve">Consider unlicensed bands above 52.6GHz to the extent that waveform design principles remain unchanged with respect to below 52.6GHz bands </w:t>
      </w:r>
    </w:p>
    <w:p w14:paraId="4E6E9603" w14:textId="77777777" w:rsidR="00B559A2" w:rsidRPr="0099677A" w:rsidRDefault="00B559A2" w:rsidP="007064DF">
      <w:pPr>
        <w:widowControl/>
        <w:numPr>
          <w:ilvl w:val="2"/>
          <w:numId w:val="19"/>
        </w:numPr>
        <w:wordWrap/>
        <w:overflowPunct w:val="0"/>
        <w:adjustRightInd w:val="0"/>
        <w:ind w:left="1800"/>
        <w:jc w:val="left"/>
        <w:textAlignment w:val="baseline"/>
        <w:rPr>
          <w:rFonts w:ascii="Times New Roman"/>
          <w:bCs/>
          <w:szCs w:val="20"/>
        </w:rPr>
      </w:pPr>
      <w:r w:rsidRPr="0099677A">
        <w:rPr>
          <w:rFonts w:ascii="Times New Roman"/>
          <w:bCs/>
          <w:szCs w:val="20"/>
          <w:lang w:eastAsia="zh-CN"/>
        </w:rPr>
        <w:t>Consider similar forward compatibility principles made in the NR WI</w:t>
      </w:r>
      <w:r w:rsidRPr="0099677A">
        <w:rPr>
          <w:rFonts w:ascii="Times New Roman"/>
          <w:bCs/>
          <w:szCs w:val="20"/>
        </w:rPr>
        <w:t xml:space="preserve"> </w:t>
      </w:r>
    </w:p>
    <w:p w14:paraId="037DD2CD" w14:textId="77777777" w:rsidR="00B559A2" w:rsidRPr="0099677A" w:rsidRDefault="00B559A2" w:rsidP="007064DF">
      <w:pPr>
        <w:widowControl/>
        <w:numPr>
          <w:ilvl w:val="1"/>
          <w:numId w:val="19"/>
        </w:numPr>
        <w:wordWrap/>
        <w:overflowPunct w:val="0"/>
        <w:adjustRightInd w:val="0"/>
        <w:ind w:left="1080"/>
        <w:jc w:val="left"/>
        <w:textAlignment w:val="baseline"/>
        <w:rPr>
          <w:rFonts w:ascii="Times New Roman"/>
          <w:bCs/>
          <w:szCs w:val="20"/>
        </w:rPr>
      </w:pPr>
      <w:r w:rsidRPr="0099677A">
        <w:rPr>
          <w:rFonts w:ascii="Times New Roman"/>
          <w:bCs/>
          <w:szCs w:val="20"/>
        </w:rPr>
        <w:t>Initial access, channel access. Scheduling/HARQ, and mobility including connected/inactive/idle mode operation and radio-link monitoring/failure</w:t>
      </w:r>
    </w:p>
    <w:p w14:paraId="0D0CB08F" w14:textId="03204226" w:rsidR="00B559A2" w:rsidRPr="0099677A" w:rsidRDefault="00B559A2" w:rsidP="007064DF">
      <w:pPr>
        <w:widowControl/>
        <w:numPr>
          <w:ilvl w:val="1"/>
          <w:numId w:val="19"/>
        </w:numPr>
        <w:wordWrap/>
        <w:overflowPunct w:val="0"/>
        <w:adjustRightInd w:val="0"/>
        <w:ind w:left="1080"/>
        <w:jc w:val="left"/>
        <w:textAlignment w:val="baseline"/>
        <w:rPr>
          <w:rFonts w:ascii="Times New Roman"/>
          <w:bCs/>
          <w:szCs w:val="20"/>
        </w:rPr>
      </w:pPr>
      <w:r w:rsidRPr="0099677A">
        <w:rPr>
          <w:rFonts w:ascii="Times New Roman"/>
          <w:bCs/>
          <w:szCs w:val="20"/>
        </w:rPr>
        <w:t xml:space="preserve">Coexistence methods within NR-based and between NR-based operation in unlicensed and LTE-based LAA and with other incumbent RATs in accordance with regulatory requirements in e.g., 5GHz, 37GHz, 60GHz bands </w:t>
      </w:r>
    </w:p>
    <w:p w14:paraId="3ADE0643" w14:textId="77777777" w:rsidR="00B559A2" w:rsidRPr="0099677A" w:rsidRDefault="00B559A2" w:rsidP="007064DF">
      <w:pPr>
        <w:widowControl/>
        <w:numPr>
          <w:ilvl w:val="2"/>
          <w:numId w:val="19"/>
        </w:numPr>
        <w:wordWrap/>
        <w:overflowPunct w:val="0"/>
        <w:adjustRightInd w:val="0"/>
        <w:ind w:left="1800"/>
        <w:jc w:val="left"/>
        <w:textAlignment w:val="baseline"/>
        <w:rPr>
          <w:rFonts w:ascii="Times New Roman"/>
          <w:bCs/>
          <w:szCs w:val="20"/>
        </w:rPr>
      </w:pPr>
      <w:r w:rsidRPr="0099677A">
        <w:rPr>
          <w:rFonts w:ascii="Times New Roman"/>
          <w:bCs/>
          <w:szCs w:val="20"/>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66284953" w14:textId="40CE0135" w:rsidR="00B559A2" w:rsidRPr="0099677A" w:rsidRDefault="00B559A2" w:rsidP="00594582">
      <w:pPr>
        <w:pStyle w:val="LGTdoc1"/>
        <w:spacing w:beforeLines="0" w:before="120" w:after="220" w:afterAutospacing="0"/>
        <w:rPr>
          <w:b w:val="0"/>
          <w:sz w:val="20"/>
        </w:rPr>
      </w:pPr>
      <w:r w:rsidRPr="0099677A">
        <w:rPr>
          <w:b w:val="0"/>
          <w:sz w:val="20"/>
        </w:rPr>
        <w:t xml:space="preserve">In this contribution we provide </w:t>
      </w:r>
      <w:r w:rsidR="00A72FDC" w:rsidRPr="0099677A">
        <w:rPr>
          <w:b w:val="0"/>
          <w:sz w:val="20"/>
        </w:rPr>
        <w:t xml:space="preserve">some </w:t>
      </w:r>
      <w:r w:rsidR="001D3F02" w:rsidRPr="0099677A">
        <w:rPr>
          <w:b w:val="0"/>
          <w:sz w:val="20"/>
        </w:rPr>
        <w:t>high-level</w:t>
      </w:r>
      <w:r w:rsidRPr="0099677A">
        <w:rPr>
          <w:b w:val="0"/>
          <w:sz w:val="20"/>
        </w:rPr>
        <w:t xml:space="preserve"> views on the </w:t>
      </w:r>
      <w:r w:rsidR="00727A74" w:rsidRPr="0099677A">
        <w:rPr>
          <w:b w:val="0"/>
          <w:sz w:val="20"/>
        </w:rPr>
        <w:t xml:space="preserve">frame structure </w:t>
      </w:r>
      <w:r w:rsidR="001557DC" w:rsidRPr="0099677A">
        <w:rPr>
          <w:b w:val="0"/>
          <w:sz w:val="20"/>
        </w:rPr>
        <w:t xml:space="preserve">and physical layer procedures </w:t>
      </w:r>
      <w:r w:rsidR="00727A74" w:rsidRPr="0099677A">
        <w:rPr>
          <w:b w:val="0"/>
          <w:sz w:val="20"/>
        </w:rPr>
        <w:t>for NR unlicensed</w:t>
      </w:r>
      <w:r w:rsidRPr="0099677A">
        <w:rPr>
          <w:b w:val="0"/>
          <w:sz w:val="20"/>
        </w:rPr>
        <w:t>.</w:t>
      </w:r>
    </w:p>
    <w:p w14:paraId="338C879E" w14:textId="01D97DFD" w:rsidR="00B559A2" w:rsidRDefault="00FD335A" w:rsidP="003520EB">
      <w:pPr>
        <w:pStyle w:val="Heading1"/>
      </w:pPr>
      <w:r>
        <w:t>T</w:t>
      </w:r>
      <w:r w:rsidR="002F37E8">
        <w:t>x</w:t>
      </w:r>
      <w:r>
        <w:t>OP</w:t>
      </w:r>
      <w:r w:rsidR="002F37E8">
        <w:t xml:space="preserve"> Structure</w:t>
      </w:r>
    </w:p>
    <w:p w14:paraId="76E0AD8A" w14:textId="5E0BEE5D" w:rsidR="00FD335A" w:rsidRPr="0099677A" w:rsidRDefault="00FD335A" w:rsidP="00594582">
      <w:pPr>
        <w:pStyle w:val="LGTdoc1"/>
        <w:spacing w:beforeLines="0" w:before="120" w:after="220" w:afterAutospacing="0"/>
        <w:rPr>
          <w:b w:val="0"/>
          <w:sz w:val="20"/>
        </w:rPr>
      </w:pPr>
      <w:r w:rsidRPr="0099677A">
        <w:rPr>
          <w:b w:val="0"/>
          <w:sz w:val="20"/>
        </w:rPr>
        <w:t xml:space="preserve">Typical channel access procedure in unlicensed spectrum starts with an LBT procedure where the node determines if the channel is busy or idle. If the channel is found </w:t>
      </w:r>
      <w:r w:rsidR="00D4232E" w:rsidRPr="0099677A">
        <w:rPr>
          <w:b w:val="0"/>
          <w:sz w:val="20"/>
        </w:rPr>
        <w:t>to be idle, a contention step follows which typically involves the node monitoring the channel for a period of time based on a random back</w:t>
      </w:r>
      <w:r w:rsidR="002E550B" w:rsidRPr="0099677A">
        <w:rPr>
          <w:b w:val="0"/>
          <w:sz w:val="20"/>
        </w:rPr>
        <w:t>-</w:t>
      </w:r>
      <w:r w:rsidR="00D4232E" w:rsidRPr="0099677A">
        <w:rPr>
          <w:b w:val="0"/>
          <w:sz w:val="20"/>
        </w:rPr>
        <w:t>off within a contention window</w:t>
      </w:r>
      <w:r w:rsidR="002E550B" w:rsidRPr="0099677A">
        <w:rPr>
          <w:b w:val="0"/>
          <w:sz w:val="20"/>
        </w:rPr>
        <w:t>,</w:t>
      </w:r>
      <w:r w:rsidR="00D4232E" w:rsidRPr="0099677A">
        <w:rPr>
          <w:b w:val="0"/>
          <w:sz w:val="20"/>
        </w:rPr>
        <w:t xml:space="preserve"> and if the medium is idle the node is allowed to use the medium. Once it gets access to the medium, the node is allowed to transmit for a maximum period of time based on the traffic type (QCI) called</w:t>
      </w:r>
      <w:r w:rsidR="003613DF" w:rsidRPr="0099677A">
        <w:rPr>
          <w:b w:val="0"/>
          <w:sz w:val="20"/>
        </w:rPr>
        <w:t xml:space="preserve"> maximum channel occupancy time (MCOT)</w:t>
      </w:r>
      <w:r w:rsidR="00D4232E" w:rsidRPr="0099677A">
        <w:rPr>
          <w:b w:val="0"/>
          <w:sz w:val="20"/>
        </w:rPr>
        <w:t xml:space="preserve">. The MCOT </w:t>
      </w:r>
      <w:r w:rsidR="002E550B" w:rsidRPr="0099677A">
        <w:rPr>
          <w:b w:val="0"/>
          <w:sz w:val="20"/>
        </w:rPr>
        <w:t>is</w:t>
      </w:r>
      <w:r w:rsidR="00D4232E" w:rsidRPr="0099677A">
        <w:rPr>
          <w:b w:val="0"/>
          <w:sz w:val="20"/>
        </w:rPr>
        <w:t xml:space="preserve"> part of the regulatory rules.</w:t>
      </w:r>
      <w:r w:rsidR="002F37E8" w:rsidRPr="0099677A">
        <w:rPr>
          <w:b w:val="0"/>
          <w:sz w:val="20"/>
        </w:rPr>
        <w:t xml:space="preserve"> The node may however choose to reserve/use a portion smaller than the MCOT for its communications. This period of time where the node gains right to access the medium is referred to as the TxOP (transmission opportunity)</w:t>
      </w:r>
      <w:r w:rsidR="00232635" w:rsidRPr="0099677A">
        <w:rPr>
          <w:b w:val="0"/>
          <w:sz w:val="20"/>
        </w:rPr>
        <w:t>.</w:t>
      </w:r>
    </w:p>
    <w:p w14:paraId="1538CB0D" w14:textId="45D94D44" w:rsidR="002F37E8" w:rsidRPr="0099677A" w:rsidRDefault="002F37E8" w:rsidP="00594582">
      <w:pPr>
        <w:pStyle w:val="LGTdoc1"/>
        <w:spacing w:beforeLines="0" w:before="120" w:after="220" w:afterAutospacing="0"/>
        <w:contextualSpacing/>
        <w:rPr>
          <w:b w:val="0"/>
          <w:sz w:val="20"/>
        </w:rPr>
      </w:pPr>
      <w:r w:rsidRPr="0099677A">
        <w:rPr>
          <w:b w:val="0"/>
          <w:sz w:val="20"/>
        </w:rPr>
        <w:t xml:space="preserve">For NR the gNB can use the LBT procedure and obtain a TxOP. </w:t>
      </w:r>
      <w:bookmarkStart w:id="4" w:name="_Hlk506206368"/>
      <w:r w:rsidRPr="0099677A">
        <w:rPr>
          <w:b w:val="0"/>
          <w:sz w:val="20"/>
        </w:rPr>
        <w:t>We propose th</w:t>
      </w:r>
      <w:r w:rsidR="00A72FDC" w:rsidRPr="0099677A">
        <w:rPr>
          <w:b w:val="0"/>
          <w:sz w:val="20"/>
        </w:rPr>
        <w:t>at the TxOP be structured into two portions</w:t>
      </w:r>
      <w:r w:rsidR="00C809ED" w:rsidRPr="0099677A">
        <w:rPr>
          <w:b w:val="0"/>
          <w:sz w:val="20"/>
        </w:rPr>
        <w:t xml:space="preserve"> as shown in Fig. 1</w:t>
      </w:r>
      <w:r w:rsidR="00CC3E55">
        <w:rPr>
          <w:b w:val="0"/>
          <w:sz w:val="20"/>
        </w:rPr>
        <w:t>:</w:t>
      </w:r>
    </w:p>
    <w:p w14:paraId="2CF41802" w14:textId="3EDB9C97" w:rsidR="00A72FDC" w:rsidRPr="0099677A" w:rsidRDefault="00A72FDC" w:rsidP="00594582">
      <w:pPr>
        <w:pStyle w:val="LGTdoc1"/>
        <w:numPr>
          <w:ilvl w:val="0"/>
          <w:numId w:val="18"/>
        </w:numPr>
        <w:spacing w:beforeLines="0" w:before="120" w:after="220" w:afterAutospacing="0"/>
        <w:contextualSpacing/>
        <w:rPr>
          <w:b w:val="0"/>
          <w:sz w:val="20"/>
        </w:rPr>
      </w:pPr>
      <w:r w:rsidRPr="0099677A">
        <w:rPr>
          <w:b w:val="0"/>
          <w:sz w:val="20"/>
        </w:rPr>
        <w:t xml:space="preserve">A preparation stage </w:t>
      </w:r>
    </w:p>
    <w:p w14:paraId="0A1334EF" w14:textId="26F6FB7A" w:rsidR="00A72FDC" w:rsidRPr="0099677A" w:rsidRDefault="00A72FDC" w:rsidP="00594582">
      <w:pPr>
        <w:pStyle w:val="LGTdoc1"/>
        <w:numPr>
          <w:ilvl w:val="0"/>
          <w:numId w:val="18"/>
        </w:numPr>
        <w:spacing w:beforeLines="0" w:before="120" w:after="220" w:afterAutospacing="0"/>
        <w:contextualSpacing/>
        <w:rPr>
          <w:b w:val="0"/>
          <w:sz w:val="20"/>
        </w:rPr>
      </w:pPr>
      <w:r w:rsidRPr="0099677A">
        <w:rPr>
          <w:b w:val="0"/>
          <w:sz w:val="20"/>
        </w:rPr>
        <w:t>A data transmission stage</w:t>
      </w:r>
    </w:p>
    <w:p w14:paraId="4AD67E5A" w14:textId="7566AB2D" w:rsidR="00C809ED" w:rsidRPr="0099677A" w:rsidRDefault="00C809ED" w:rsidP="00594582">
      <w:pPr>
        <w:pStyle w:val="LGTdoc1"/>
        <w:spacing w:beforeLines="0" w:before="120" w:after="220" w:afterAutospacing="0"/>
        <w:rPr>
          <w:b w:val="0"/>
          <w:sz w:val="20"/>
        </w:rPr>
      </w:pPr>
      <w:r w:rsidRPr="0099677A">
        <w:rPr>
          <w:b w:val="0"/>
          <w:sz w:val="20"/>
        </w:rPr>
        <w:t>Each stage may comprise one or more DL and UL bursts. A stage may thus involve more than one DL to UL switch.</w:t>
      </w:r>
    </w:p>
    <w:p w14:paraId="7CEE67FF" w14:textId="315639FA" w:rsidR="00C809ED" w:rsidRDefault="00F71C27" w:rsidP="00C809ED">
      <w:pPr>
        <w:keepNext/>
        <w:widowControl/>
        <w:wordWrap/>
        <w:autoSpaceDE/>
        <w:autoSpaceDN/>
        <w:jc w:val="center"/>
      </w:pPr>
      <w:r>
        <w:rPr>
          <w:rFonts w:ascii="Calibri" w:eastAsia="Times New Roman" w:hAnsi="Calibri" w:cs="Calibri"/>
          <w:color w:val="000000"/>
          <w:kern w:val="0"/>
          <w:sz w:val="22"/>
          <w:szCs w:val="22"/>
          <w:lang w:eastAsia="en-US"/>
        </w:rPr>
        <w:object w:dxaOrig="12205" w:dyaOrig="2807" w14:anchorId="0A961C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55pt;height:108.3pt" o:ole="">
            <v:imagedata r:id="rId13" o:title=""/>
          </v:shape>
          <o:OLEObject Type="Embed" ProgID="Visio.Drawing.11" ShapeID="_x0000_i1025" DrawAspect="Content" ObjectID="_1580306940" r:id="rId14"/>
        </w:object>
      </w:r>
    </w:p>
    <w:p w14:paraId="0F5AF6F6" w14:textId="1917523C" w:rsidR="00C809ED" w:rsidRDefault="00C809ED" w:rsidP="00C809ED">
      <w:pPr>
        <w:pStyle w:val="Caption"/>
        <w:jc w:val="center"/>
        <w:rPr>
          <w:rFonts w:ascii="Calibri" w:eastAsia="Times New Roman" w:hAnsi="Calibri" w:cs="Calibri"/>
          <w:color w:val="000000"/>
          <w:sz w:val="22"/>
          <w:szCs w:val="22"/>
        </w:rPr>
      </w:pPr>
      <w:r>
        <w:t xml:space="preserve">Figure </w:t>
      </w:r>
      <w:r>
        <w:fldChar w:fldCharType="begin"/>
      </w:r>
      <w:r>
        <w:instrText xml:space="preserve"> SEQ Figure \* ARABIC </w:instrText>
      </w:r>
      <w:r>
        <w:fldChar w:fldCharType="separate"/>
      </w:r>
      <w:r w:rsidR="003359E4">
        <w:rPr>
          <w:noProof/>
        </w:rPr>
        <w:t>1</w:t>
      </w:r>
      <w:r>
        <w:fldChar w:fldCharType="end"/>
      </w:r>
      <w:r>
        <w:t xml:space="preserve">: TxOP </w:t>
      </w:r>
      <w:r>
        <w:rPr>
          <w:noProof/>
        </w:rPr>
        <w:t>Frame Structure</w:t>
      </w:r>
    </w:p>
    <w:p w14:paraId="6923B915" w14:textId="4BAFDA5E" w:rsidR="00C809ED" w:rsidRPr="0099677A" w:rsidRDefault="00C809ED" w:rsidP="00594582">
      <w:pPr>
        <w:pStyle w:val="LGTdoc1"/>
        <w:spacing w:beforeLines="0" w:before="120" w:after="220" w:afterAutospacing="0"/>
        <w:rPr>
          <w:b w:val="0"/>
          <w:sz w:val="20"/>
        </w:rPr>
      </w:pPr>
      <w:r w:rsidRPr="0099677A">
        <w:rPr>
          <w:b w:val="0"/>
          <w:sz w:val="20"/>
        </w:rPr>
        <w:t xml:space="preserve">The preparation stage could be used to serve a variety of </w:t>
      </w:r>
      <w:r w:rsidR="00C76C6C" w:rsidRPr="0099677A">
        <w:rPr>
          <w:b w:val="0"/>
          <w:sz w:val="20"/>
        </w:rPr>
        <w:t>functionalities</w:t>
      </w:r>
      <w:r w:rsidRPr="0099677A">
        <w:rPr>
          <w:b w:val="0"/>
          <w:sz w:val="20"/>
        </w:rPr>
        <w:t xml:space="preserve">. For example, since the LBT procedure prior to the TxOP only determines if the channel is free for use by gNB, due to hidden nodes issue, it may be possible that the intended UE is unable to receive the transmission. The preparation stage can be used to check if the intended UE can also transmit/receive thereby making the use of the medium more efficient. We discuss this and some other </w:t>
      </w:r>
      <w:r w:rsidR="00C76C6C" w:rsidRPr="0099677A">
        <w:rPr>
          <w:b w:val="0"/>
          <w:sz w:val="20"/>
        </w:rPr>
        <w:t xml:space="preserve">functionalities </w:t>
      </w:r>
      <w:r w:rsidRPr="0099677A">
        <w:rPr>
          <w:b w:val="0"/>
          <w:sz w:val="20"/>
        </w:rPr>
        <w:t xml:space="preserve">for the preparation stage in following sections. </w:t>
      </w:r>
    </w:p>
    <w:p w14:paraId="59C09BF7" w14:textId="1217A976" w:rsidR="006924D3" w:rsidRPr="0099677A" w:rsidRDefault="006924D3" w:rsidP="00594582">
      <w:pPr>
        <w:pStyle w:val="LGTdoc1"/>
        <w:spacing w:beforeLines="0" w:before="120" w:after="220" w:afterAutospacing="0"/>
        <w:rPr>
          <w:b w:val="0"/>
          <w:sz w:val="20"/>
        </w:rPr>
      </w:pPr>
      <w:r w:rsidRPr="0099677A">
        <w:rPr>
          <w:b w:val="0"/>
          <w:sz w:val="20"/>
        </w:rPr>
        <w:t xml:space="preserve">The data transmission stage proposed is similar in functionality to the TxOP frame structure used for LAA/eLAA in LTE. </w:t>
      </w:r>
      <w:r w:rsidR="001D3F02" w:rsidRPr="0099677A">
        <w:rPr>
          <w:b w:val="0"/>
          <w:sz w:val="20"/>
        </w:rPr>
        <w:t>The TxOP</w:t>
      </w:r>
      <w:r w:rsidRPr="0099677A">
        <w:rPr>
          <w:b w:val="0"/>
          <w:sz w:val="20"/>
        </w:rPr>
        <w:t xml:space="preserve"> could be a DL centric, UL centric or mixed. In LAA/eLAA design the mixed TxOP had a single DL portion followed by an UL portion. For NR though we propose allowing multiple switches between </w:t>
      </w:r>
      <w:r w:rsidR="001D3F02" w:rsidRPr="0099677A">
        <w:rPr>
          <w:b w:val="0"/>
          <w:sz w:val="20"/>
        </w:rPr>
        <w:t>D</w:t>
      </w:r>
      <w:r w:rsidRPr="0099677A">
        <w:rPr>
          <w:b w:val="0"/>
          <w:sz w:val="20"/>
        </w:rPr>
        <w:t xml:space="preserve">L and </w:t>
      </w:r>
      <w:r w:rsidR="001D3F02" w:rsidRPr="0099677A">
        <w:rPr>
          <w:b w:val="0"/>
          <w:sz w:val="20"/>
        </w:rPr>
        <w:t>U</w:t>
      </w:r>
      <w:r w:rsidRPr="0099677A">
        <w:rPr>
          <w:b w:val="0"/>
          <w:sz w:val="20"/>
        </w:rPr>
        <w:t>L due to some of the inherent design changes in NR such as self</w:t>
      </w:r>
      <w:r w:rsidR="00602081" w:rsidRPr="0099677A">
        <w:rPr>
          <w:b w:val="0"/>
          <w:sz w:val="20"/>
        </w:rPr>
        <w:t>-</w:t>
      </w:r>
      <w:r w:rsidRPr="0099677A">
        <w:rPr>
          <w:b w:val="0"/>
          <w:sz w:val="20"/>
        </w:rPr>
        <w:t>contained slots.</w:t>
      </w:r>
      <w:r w:rsidR="00C809ED" w:rsidRPr="0099677A">
        <w:rPr>
          <w:b w:val="0"/>
          <w:sz w:val="20"/>
        </w:rPr>
        <w:t xml:space="preserve"> Further details of the data transmission stage are discussion in section 4.</w:t>
      </w:r>
    </w:p>
    <w:bookmarkEnd w:id="4"/>
    <w:p w14:paraId="7B1CCD3F" w14:textId="1DD62A0A" w:rsidR="00C809ED" w:rsidRPr="0099677A" w:rsidRDefault="00594582" w:rsidP="00594582">
      <w:pPr>
        <w:pStyle w:val="LGTdoc1"/>
        <w:spacing w:beforeLines="0" w:before="120" w:after="220" w:afterAutospacing="0"/>
        <w:rPr>
          <w:sz w:val="20"/>
        </w:rPr>
      </w:pPr>
      <w:r w:rsidRPr="0099677A">
        <w:rPr>
          <w:sz w:val="20"/>
          <w:u w:val="single"/>
        </w:rPr>
        <w:t>Proposal 1:</w:t>
      </w:r>
      <w:r w:rsidRPr="0099677A">
        <w:rPr>
          <w:sz w:val="20"/>
        </w:rPr>
        <w:t xml:space="preserve"> TxOP is structured into a preparation stage and a data transmission stage </w:t>
      </w:r>
    </w:p>
    <w:p w14:paraId="3C1790FC" w14:textId="3B690825" w:rsidR="00C76C6C" w:rsidRPr="0099677A" w:rsidRDefault="00C76C6C" w:rsidP="00C76C6C">
      <w:pPr>
        <w:pStyle w:val="LGTdoc1"/>
        <w:spacing w:beforeLines="0" w:before="120" w:after="220" w:afterAutospacing="0"/>
        <w:rPr>
          <w:b w:val="0"/>
          <w:sz w:val="20"/>
        </w:rPr>
      </w:pPr>
      <w:r w:rsidRPr="0099677A">
        <w:rPr>
          <w:b w:val="0"/>
          <w:sz w:val="20"/>
        </w:rPr>
        <w:t>Note that within a particular TxOP, not both stages are required to appear. It is possible for one TxOP to have data stage only, or preparation stage only, or both</w:t>
      </w:r>
      <w:r w:rsidR="005106F3" w:rsidRPr="0099677A">
        <w:rPr>
          <w:b w:val="0"/>
          <w:sz w:val="20"/>
        </w:rPr>
        <w:t>, either by configuration or by gNB scheduling.</w:t>
      </w:r>
      <w:r w:rsidR="008A7119" w:rsidRPr="0099677A">
        <w:rPr>
          <w:b w:val="0"/>
          <w:sz w:val="20"/>
        </w:rPr>
        <w:t xml:space="preserve"> It is also preferable for the data bursts in TxOP to be supported by the existing NR slot formats.</w:t>
      </w:r>
    </w:p>
    <w:p w14:paraId="1494CEEF" w14:textId="6C07E44F" w:rsidR="006C701B" w:rsidRDefault="002F37E8" w:rsidP="003520EB">
      <w:pPr>
        <w:pStyle w:val="Heading1"/>
      </w:pPr>
      <w:r w:rsidRPr="00232635">
        <w:t>Preparation Stage</w:t>
      </w:r>
    </w:p>
    <w:p w14:paraId="367CE8C7" w14:textId="0DE6AFC9" w:rsidR="00232635" w:rsidRPr="0099677A" w:rsidRDefault="00232635" w:rsidP="00594582">
      <w:pPr>
        <w:pStyle w:val="LGTdoc1"/>
        <w:spacing w:beforeLines="0" w:before="120" w:after="220" w:afterAutospacing="0"/>
        <w:rPr>
          <w:b w:val="0"/>
          <w:sz w:val="20"/>
        </w:rPr>
      </w:pPr>
      <w:r w:rsidRPr="0099677A">
        <w:rPr>
          <w:b w:val="0"/>
          <w:sz w:val="20"/>
        </w:rPr>
        <w:t>In this section</w:t>
      </w:r>
      <w:r w:rsidR="00BA397E" w:rsidRPr="0099677A">
        <w:rPr>
          <w:b w:val="0"/>
          <w:sz w:val="20"/>
        </w:rPr>
        <w:t>,</w:t>
      </w:r>
      <w:r w:rsidRPr="0099677A">
        <w:rPr>
          <w:b w:val="0"/>
          <w:sz w:val="20"/>
        </w:rPr>
        <w:t xml:space="preserve"> we discuss some </w:t>
      </w:r>
      <w:r w:rsidR="00BA397E" w:rsidRPr="0099677A">
        <w:rPr>
          <w:b w:val="0"/>
          <w:sz w:val="20"/>
        </w:rPr>
        <w:t xml:space="preserve">of the </w:t>
      </w:r>
      <w:r w:rsidRPr="0099677A">
        <w:rPr>
          <w:b w:val="0"/>
          <w:sz w:val="20"/>
        </w:rPr>
        <w:t>benefits that the preparation stage can provide. The preparation stage may of course be optional in which case the TxOP may look similar to LTE unlicensed design.</w:t>
      </w:r>
      <w:r w:rsidR="00230322" w:rsidRPr="0099677A">
        <w:rPr>
          <w:b w:val="0"/>
          <w:sz w:val="20"/>
        </w:rPr>
        <w:t xml:space="preserve"> Also, a</w:t>
      </w:r>
      <w:r w:rsidRPr="0099677A">
        <w:rPr>
          <w:b w:val="0"/>
          <w:sz w:val="20"/>
        </w:rPr>
        <w:t>s mentioned before</w:t>
      </w:r>
      <w:r w:rsidR="005106F3" w:rsidRPr="0099677A">
        <w:rPr>
          <w:b w:val="0"/>
          <w:sz w:val="20"/>
        </w:rPr>
        <w:t>,</w:t>
      </w:r>
      <w:r w:rsidRPr="0099677A">
        <w:rPr>
          <w:b w:val="0"/>
          <w:sz w:val="20"/>
        </w:rPr>
        <w:t xml:space="preserve"> the preparation stage may involve switch</w:t>
      </w:r>
      <w:r w:rsidR="00230322" w:rsidRPr="0099677A">
        <w:rPr>
          <w:b w:val="0"/>
          <w:sz w:val="20"/>
        </w:rPr>
        <w:t>ing</w:t>
      </w:r>
      <w:r w:rsidRPr="0099677A">
        <w:rPr>
          <w:b w:val="0"/>
          <w:sz w:val="20"/>
        </w:rPr>
        <w:t xml:space="preserve"> between </w:t>
      </w:r>
      <w:r w:rsidR="00230322" w:rsidRPr="0099677A">
        <w:rPr>
          <w:b w:val="0"/>
          <w:sz w:val="20"/>
        </w:rPr>
        <w:t>D</w:t>
      </w:r>
      <w:r w:rsidRPr="0099677A">
        <w:rPr>
          <w:b w:val="0"/>
          <w:sz w:val="20"/>
        </w:rPr>
        <w:t xml:space="preserve">L and </w:t>
      </w:r>
      <w:r w:rsidR="00230322" w:rsidRPr="0099677A">
        <w:rPr>
          <w:b w:val="0"/>
          <w:sz w:val="20"/>
        </w:rPr>
        <w:t>U</w:t>
      </w:r>
      <w:r w:rsidRPr="0099677A">
        <w:rPr>
          <w:b w:val="0"/>
          <w:sz w:val="20"/>
        </w:rPr>
        <w:t xml:space="preserve">L transmissions. </w:t>
      </w:r>
      <w:r w:rsidR="00BA397E" w:rsidRPr="0099677A">
        <w:rPr>
          <w:b w:val="0"/>
          <w:sz w:val="20"/>
        </w:rPr>
        <w:t xml:space="preserve">Since this involves changes in </w:t>
      </w:r>
      <w:r w:rsidR="00230322" w:rsidRPr="0099677A">
        <w:rPr>
          <w:b w:val="0"/>
          <w:sz w:val="20"/>
        </w:rPr>
        <w:t>nodes</w:t>
      </w:r>
      <w:r w:rsidR="00BA397E" w:rsidRPr="0099677A">
        <w:rPr>
          <w:b w:val="0"/>
          <w:sz w:val="20"/>
        </w:rPr>
        <w:t xml:space="preserve"> that transmit and would introduce</w:t>
      </w:r>
      <w:r w:rsidR="00230322" w:rsidRPr="0099677A">
        <w:rPr>
          <w:b w:val="0"/>
          <w:sz w:val="20"/>
        </w:rPr>
        <w:t xml:space="preserve"> gap</w:t>
      </w:r>
      <w:r w:rsidR="00BA397E" w:rsidRPr="0099677A">
        <w:rPr>
          <w:b w:val="0"/>
          <w:sz w:val="20"/>
        </w:rPr>
        <w:t>s in a particular node</w:t>
      </w:r>
      <w:r w:rsidR="00AC38D4">
        <w:rPr>
          <w:b w:val="0"/>
          <w:sz w:val="20"/>
        </w:rPr>
        <w:t>’</w:t>
      </w:r>
      <w:r w:rsidR="00BA397E" w:rsidRPr="0099677A">
        <w:rPr>
          <w:b w:val="0"/>
          <w:sz w:val="20"/>
        </w:rPr>
        <w:t>s transmissions,</w:t>
      </w:r>
      <w:r w:rsidR="00230322" w:rsidRPr="0099677A">
        <w:rPr>
          <w:b w:val="0"/>
          <w:sz w:val="20"/>
        </w:rPr>
        <w:t xml:space="preserve"> other nodes may get control of the medium during this time. Hence, the nodes </w:t>
      </w:r>
      <w:r w:rsidR="00B83423" w:rsidRPr="0099677A">
        <w:rPr>
          <w:b w:val="0"/>
          <w:sz w:val="20"/>
        </w:rPr>
        <w:t>may</w:t>
      </w:r>
      <w:r w:rsidR="00230322" w:rsidRPr="0099677A">
        <w:rPr>
          <w:b w:val="0"/>
          <w:sz w:val="20"/>
        </w:rPr>
        <w:t xml:space="preserve"> need do an LBT prior to the</w:t>
      </w:r>
      <w:r w:rsidR="00BA397E" w:rsidRPr="0099677A">
        <w:rPr>
          <w:b w:val="0"/>
          <w:sz w:val="20"/>
        </w:rPr>
        <w:t>ir</w:t>
      </w:r>
      <w:r w:rsidR="00230322" w:rsidRPr="0099677A">
        <w:rPr>
          <w:b w:val="0"/>
          <w:sz w:val="20"/>
        </w:rPr>
        <w:t xml:space="preserve"> transmission</w:t>
      </w:r>
      <w:r w:rsidR="00BA397E" w:rsidRPr="0099677A">
        <w:rPr>
          <w:b w:val="0"/>
          <w:sz w:val="20"/>
        </w:rPr>
        <w:t xml:space="preserve"> and gaps would need to be provided for the same</w:t>
      </w:r>
      <w:r w:rsidR="00230322" w:rsidRPr="0099677A">
        <w:rPr>
          <w:b w:val="0"/>
          <w:sz w:val="20"/>
        </w:rPr>
        <w:t xml:space="preserve">. </w:t>
      </w:r>
      <w:r w:rsidR="00BA397E" w:rsidRPr="0099677A">
        <w:rPr>
          <w:b w:val="0"/>
          <w:sz w:val="20"/>
        </w:rPr>
        <w:t>Before the start of the TxOP, t</w:t>
      </w:r>
      <w:r w:rsidR="00230322" w:rsidRPr="0099677A">
        <w:rPr>
          <w:b w:val="0"/>
          <w:sz w:val="20"/>
        </w:rPr>
        <w:t xml:space="preserve">he gNB would need to do a </w:t>
      </w:r>
      <w:r w:rsidR="00BA397E" w:rsidRPr="0099677A">
        <w:rPr>
          <w:b w:val="0"/>
          <w:sz w:val="20"/>
        </w:rPr>
        <w:t>longer</w:t>
      </w:r>
      <w:r w:rsidR="00230322" w:rsidRPr="0099677A">
        <w:rPr>
          <w:b w:val="0"/>
          <w:sz w:val="20"/>
        </w:rPr>
        <w:t xml:space="preserve"> cat 4 LBT to obtain the TxOP. The other </w:t>
      </w:r>
      <w:r w:rsidR="00BA397E" w:rsidRPr="0099677A">
        <w:rPr>
          <w:b w:val="0"/>
          <w:sz w:val="20"/>
        </w:rPr>
        <w:t>transmissions however may involve</w:t>
      </w:r>
      <w:r w:rsidR="00230322" w:rsidRPr="0099677A">
        <w:rPr>
          <w:b w:val="0"/>
          <w:sz w:val="20"/>
        </w:rPr>
        <w:t xml:space="preserve"> </w:t>
      </w:r>
      <w:r w:rsidR="00BA397E" w:rsidRPr="0099677A">
        <w:rPr>
          <w:b w:val="0"/>
          <w:sz w:val="20"/>
        </w:rPr>
        <w:t xml:space="preserve">just </w:t>
      </w:r>
      <w:r w:rsidR="00230322" w:rsidRPr="0099677A">
        <w:rPr>
          <w:b w:val="0"/>
          <w:sz w:val="20"/>
        </w:rPr>
        <w:t>a one-shot LBT since this is within the gNB TxOP</w:t>
      </w:r>
      <w:r w:rsidR="00B83423" w:rsidRPr="0099677A">
        <w:rPr>
          <w:b w:val="0"/>
          <w:sz w:val="20"/>
        </w:rPr>
        <w:t xml:space="preserve"> or may not need any LBT at all in case</w:t>
      </w:r>
      <w:r w:rsidR="005106F3" w:rsidRPr="0099677A">
        <w:rPr>
          <w:b w:val="0"/>
          <w:sz w:val="20"/>
        </w:rPr>
        <w:t xml:space="preserve"> when the gap is within 16µs</w:t>
      </w:r>
      <w:r w:rsidR="00230322" w:rsidRPr="0099677A">
        <w:rPr>
          <w:b w:val="0"/>
          <w:sz w:val="20"/>
        </w:rPr>
        <w:t>.</w:t>
      </w:r>
      <w:r w:rsidR="00D26A8E" w:rsidRPr="0099677A">
        <w:rPr>
          <w:b w:val="0"/>
          <w:sz w:val="20"/>
        </w:rPr>
        <w:t xml:space="preserve"> </w:t>
      </w:r>
      <w:r w:rsidR="00B83423" w:rsidRPr="0099677A">
        <w:rPr>
          <w:b w:val="0"/>
          <w:sz w:val="20"/>
        </w:rPr>
        <w:t>An example u</w:t>
      </w:r>
      <w:r w:rsidR="00D26A8E" w:rsidRPr="0099677A">
        <w:rPr>
          <w:b w:val="0"/>
          <w:sz w:val="20"/>
        </w:rPr>
        <w:t>s</w:t>
      </w:r>
      <w:r w:rsidR="00B83423" w:rsidRPr="0099677A">
        <w:rPr>
          <w:b w:val="0"/>
          <w:sz w:val="20"/>
        </w:rPr>
        <w:t>ing</w:t>
      </w:r>
      <w:r w:rsidR="00D26A8E" w:rsidRPr="0099677A">
        <w:rPr>
          <w:b w:val="0"/>
          <w:sz w:val="20"/>
        </w:rPr>
        <w:t xml:space="preserve"> cat 4 and one shot LBT within the TxOP is shown in Fig. 2</w:t>
      </w:r>
      <w:r w:rsidR="00D63F7E" w:rsidRPr="0099677A">
        <w:rPr>
          <w:b w:val="0"/>
          <w:sz w:val="20"/>
        </w:rPr>
        <w:t xml:space="preserve"> while an example that does not need LBT in between a TxOP is shown in Fig. 3</w:t>
      </w:r>
      <w:r w:rsidR="00B83423" w:rsidRPr="0099677A">
        <w:rPr>
          <w:b w:val="0"/>
          <w:sz w:val="20"/>
        </w:rPr>
        <w:t>.</w:t>
      </w:r>
      <w:r w:rsidR="00D26A8E" w:rsidRPr="0099677A">
        <w:rPr>
          <w:b w:val="0"/>
          <w:sz w:val="20"/>
        </w:rPr>
        <w:t xml:space="preserve"> </w:t>
      </w:r>
    </w:p>
    <w:p w14:paraId="684993F0" w14:textId="77777777" w:rsidR="00D26A8E" w:rsidRDefault="00BA397E" w:rsidP="00D26A8E">
      <w:pPr>
        <w:keepNext/>
        <w:widowControl/>
        <w:wordWrap/>
        <w:autoSpaceDE/>
        <w:autoSpaceDN/>
        <w:jc w:val="center"/>
      </w:pPr>
      <w:r>
        <w:rPr>
          <w:rFonts w:ascii="Calibri" w:eastAsia="Times New Roman" w:hAnsi="Calibri" w:cs="Calibri"/>
          <w:color w:val="000000"/>
          <w:kern w:val="0"/>
          <w:sz w:val="22"/>
          <w:szCs w:val="22"/>
          <w:lang w:eastAsia="en-US"/>
        </w:rPr>
        <w:object w:dxaOrig="7420" w:dyaOrig="3241" w14:anchorId="41E2BC07">
          <v:shape id="_x0000_i1026" type="#_x0000_t75" style="width:272.95pt;height:118.95pt" o:ole="">
            <v:imagedata r:id="rId15" o:title=""/>
          </v:shape>
          <o:OLEObject Type="Embed" ProgID="Visio.Drawing.11" ShapeID="_x0000_i1026" DrawAspect="Content" ObjectID="_1580306941" r:id="rId16"/>
        </w:object>
      </w:r>
    </w:p>
    <w:p w14:paraId="58C76C69" w14:textId="521DC896" w:rsidR="00230322" w:rsidRDefault="00D26A8E" w:rsidP="00D26A8E">
      <w:pPr>
        <w:pStyle w:val="Caption"/>
        <w:jc w:val="center"/>
      </w:pPr>
      <w:r>
        <w:t xml:space="preserve">Figure </w:t>
      </w:r>
      <w:r>
        <w:fldChar w:fldCharType="begin"/>
      </w:r>
      <w:r>
        <w:instrText xml:space="preserve"> SEQ Figure \* ARABIC </w:instrText>
      </w:r>
      <w:r>
        <w:fldChar w:fldCharType="separate"/>
      </w:r>
      <w:r w:rsidR="003359E4">
        <w:rPr>
          <w:noProof/>
        </w:rPr>
        <w:t>2</w:t>
      </w:r>
      <w:r>
        <w:fldChar w:fldCharType="end"/>
      </w:r>
      <w:r>
        <w:t>: One shot vs Cat 4 LBT in a TxOP</w:t>
      </w:r>
    </w:p>
    <w:p w14:paraId="68DB6D76" w14:textId="47E87183" w:rsidR="00D63F7E" w:rsidRDefault="00D63F7E" w:rsidP="00D63F7E">
      <w:pPr>
        <w:keepNext/>
        <w:widowControl/>
        <w:wordWrap/>
        <w:autoSpaceDE/>
        <w:autoSpaceDN/>
        <w:jc w:val="center"/>
      </w:pPr>
      <w:r>
        <w:rPr>
          <w:rFonts w:ascii="Calibri" w:eastAsia="Times New Roman" w:hAnsi="Calibri" w:cs="Calibri"/>
          <w:color w:val="000000"/>
          <w:kern w:val="0"/>
          <w:sz w:val="22"/>
          <w:szCs w:val="22"/>
          <w:lang w:eastAsia="en-US"/>
        </w:rPr>
        <w:object w:dxaOrig="7419" w:dyaOrig="3242" w14:anchorId="53FE965E">
          <v:shape id="_x0000_i1027" type="#_x0000_t75" style="width:272.95pt;height:119.6pt" o:ole="">
            <v:imagedata r:id="rId17" o:title=""/>
          </v:shape>
          <o:OLEObject Type="Embed" ProgID="Visio.Drawing.11" ShapeID="_x0000_i1027" DrawAspect="Content" ObjectID="_1580306942" r:id="rId18"/>
        </w:object>
      </w:r>
    </w:p>
    <w:p w14:paraId="4503357D" w14:textId="7627E04F" w:rsidR="00D63F7E" w:rsidRDefault="00D63F7E" w:rsidP="00D63F7E">
      <w:pPr>
        <w:pStyle w:val="Caption"/>
        <w:jc w:val="center"/>
        <w:rPr>
          <w:rFonts w:ascii="Calibri" w:eastAsia="Times New Roman" w:hAnsi="Calibri" w:cs="Calibri"/>
          <w:color w:val="000000"/>
          <w:sz w:val="22"/>
          <w:szCs w:val="22"/>
        </w:rPr>
      </w:pPr>
      <w:r>
        <w:t xml:space="preserve">Figure </w:t>
      </w:r>
      <w:r>
        <w:fldChar w:fldCharType="begin"/>
      </w:r>
      <w:r>
        <w:instrText xml:space="preserve"> SEQ Figure \* ARABIC </w:instrText>
      </w:r>
      <w:r>
        <w:fldChar w:fldCharType="separate"/>
      </w:r>
      <w:r>
        <w:rPr>
          <w:noProof/>
        </w:rPr>
        <w:t>3</w:t>
      </w:r>
      <w:r>
        <w:fldChar w:fldCharType="end"/>
      </w:r>
      <w:r>
        <w:t>: TxOP without LBT in between the TxOP</w:t>
      </w:r>
    </w:p>
    <w:p w14:paraId="5E682391" w14:textId="1877F764" w:rsidR="00232635" w:rsidRDefault="003520EB" w:rsidP="003520EB">
      <w:pPr>
        <w:pStyle w:val="Heading2"/>
      </w:pPr>
      <w:r>
        <w:t xml:space="preserve">3.1 </w:t>
      </w:r>
      <w:r w:rsidR="00232635" w:rsidRPr="003520EB">
        <w:t>Channel</w:t>
      </w:r>
      <w:r w:rsidR="00232635" w:rsidRPr="00232635">
        <w:t xml:space="preserve"> </w:t>
      </w:r>
      <w:r w:rsidR="00B858AE">
        <w:t>Usage Indication</w:t>
      </w:r>
    </w:p>
    <w:p w14:paraId="7346207E" w14:textId="21DE6BC6" w:rsidR="00726473" w:rsidRPr="0099677A" w:rsidRDefault="00D26A8E" w:rsidP="00594582">
      <w:pPr>
        <w:pStyle w:val="LGTdoc1"/>
        <w:spacing w:beforeLines="0" w:before="120" w:after="220" w:afterAutospacing="0"/>
        <w:rPr>
          <w:b w:val="0"/>
          <w:sz w:val="20"/>
        </w:rPr>
      </w:pPr>
      <w:r w:rsidRPr="0099677A">
        <w:rPr>
          <w:b w:val="0"/>
          <w:sz w:val="20"/>
        </w:rPr>
        <w:t xml:space="preserve">Consider a “hidden-node” scenario shown in Fig. </w:t>
      </w:r>
      <w:r w:rsidR="00847AB0" w:rsidRPr="0099677A">
        <w:rPr>
          <w:b w:val="0"/>
          <w:sz w:val="20"/>
        </w:rPr>
        <w:t>4</w:t>
      </w:r>
      <w:r w:rsidRPr="0099677A">
        <w:rPr>
          <w:b w:val="0"/>
          <w:sz w:val="20"/>
        </w:rPr>
        <w:t>. UE1 sees strong signal f</w:t>
      </w:r>
      <w:r w:rsidR="00E53842" w:rsidRPr="0099677A">
        <w:rPr>
          <w:b w:val="0"/>
          <w:sz w:val="20"/>
        </w:rPr>
        <w:t>ro</w:t>
      </w:r>
      <w:r w:rsidRPr="0099677A">
        <w:rPr>
          <w:b w:val="0"/>
          <w:sz w:val="20"/>
        </w:rPr>
        <w:t xml:space="preserve">m its gNB1 and from a </w:t>
      </w:r>
      <w:r w:rsidR="00D63F7E" w:rsidRPr="0099677A">
        <w:rPr>
          <w:b w:val="0"/>
          <w:sz w:val="20"/>
        </w:rPr>
        <w:t>neighbouring</w:t>
      </w:r>
      <w:r w:rsidRPr="0099677A">
        <w:rPr>
          <w:b w:val="0"/>
          <w:sz w:val="20"/>
        </w:rPr>
        <w:t xml:space="preserve"> user (UE2) but gNB1 </w:t>
      </w:r>
      <w:r w:rsidR="001D3F02" w:rsidRPr="0099677A">
        <w:rPr>
          <w:b w:val="0"/>
          <w:sz w:val="20"/>
        </w:rPr>
        <w:t>can’t</w:t>
      </w:r>
      <w:r w:rsidRPr="0099677A">
        <w:rPr>
          <w:b w:val="0"/>
          <w:sz w:val="20"/>
        </w:rPr>
        <w:t xml:space="preserve"> hear UE2</w:t>
      </w:r>
      <w:r w:rsidR="001D3F02" w:rsidRPr="0099677A">
        <w:rPr>
          <w:b w:val="0"/>
          <w:sz w:val="20"/>
        </w:rPr>
        <w:t xml:space="preserve"> and vice versa</w:t>
      </w:r>
      <w:r w:rsidRPr="0099677A">
        <w:rPr>
          <w:b w:val="0"/>
          <w:sz w:val="20"/>
        </w:rPr>
        <w:t xml:space="preserve">. </w:t>
      </w:r>
      <w:r w:rsidR="00B83423" w:rsidRPr="0099677A">
        <w:rPr>
          <w:b w:val="0"/>
          <w:sz w:val="20"/>
        </w:rPr>
        <w:t>Furthermore, i</w:t>
      </w:r>
      <w:r w:rsidRPr="0099677A">
        <w:rPr>
          <w:b w:val="0"/>
          <w:sz w:val="20"/>
        </w:rPr>
        <w:t>n this scenario</w:t>
      </w:r>
      <w:r w:rsidR="00B83423" w:rsidRPr="0099677A">
        <w:rPr>
          <w:b w:val="0"/>
          <w:sz w:val="20"/>
        </w:rPr>
        <w:t>,</w:t>
      </w:r>
      <w:r w:rsidRPr="0099677A">
        <w:rPr>
          <w:b w:val="0"/>
          <w:sz w:val="20"/>
        </w:rPr>
        <w:t xml:space="preserve"> gNB1 wishes to send data to UE1 while UE2 </w:t>
      </w:r>
      <w:r w:rsidR="00BB6420" w:rsidRPr="0099677A">
        <w:rPr>
          <w:b w:val="0"/>
          <w:sz w:val="20"/>
        </w:rPr>
        <w:t>wishes to</w:t>
      </w:r>
      <w:r w:rsidRPr="0099677A">
        <w:rPr>
          <w:b w:val="0"/>
          <w:sz w:val="20"/>
        </w:rPr>
        <w:t xml:space="preserve"> transmit data to gNB2. Since gNB1 doesn’t detect UE2 transmission, its LBT procedure may succeed. Howev</w:t>
      </w:r>
      <w:r w:rsidR="00AC38D4">
        <w:rPr>
          <w:b w:val="0"/>
          <w:sz w:val="20"/>
        </w:rPr>
        <w:t>er, the data transmission to UE1</w:t>
      </w:r>
      <w:r w:rsidRPr="0099677A">
        <w:rPr>
          <w:b w:val="0"/>
          <w:sz w:val="20"/>
        </w:rPr>
        <w:t xml:space="preserve"> would fail leading to wasted resources and increased interference in the network. </w:t>
      </w:r>
      <w:r w:rsidR="00465BDF" w:rsidRPr="0099677A">
        <w:rPr>
          <w:b w:val="0"/>
          <w:sz w:val="20"/>
        </w:rPr>
        <w:t>Similarly</w:t>
      </w:r>
      <w:r w:rsidR="00D63F7E" w:rsidRPr="0099677A">
        <w:rPr>
          <w:b w:val="0"/>
          <w:sz w:val="20"/>
        </w:rPr>
        <w:t>,</w:t>
      </w:r>
      <w:r w:rsidR="00465BDF" w:rsidRPr="0099677A">
        <w:rPr>
          <w:b w:val="0"/>
          <w:sz w:val="20"/>
        </w:rPr>
        <w:t xml:space="preserve"> since UE2 may not detect gNB1 transmissions it may start transmission even though UE1 </w:t>
      </w:r>
      <w:r w:rsidR="00BB6420" w:rsidRPr="0099677A">
        <w:rPr>
          <w:b w:val="0"/>
          <w:sz w:val="20"/>
        </w:rPr>
        <w:t xml:space="preserve">may </w:t>
      </w:r>
      <w:r w:rsidR="00465BDF" w:rsidRPr="0099677A">
        <w:rPr>
          <w:b w:val="0"/>
          <w:sz w:val="20"/>
        </w:rPr>
        <w:t>ha</w:t>
      </w:r>
      <w:r w:rsidR="00BB6420" w:rsidRPr="0099677A">
        <w:rPr>
          <w:b w:val="0"/>
          <w:sz w:val="20"/>
        </w:rPr>
        <w:t>ve</w:t>
      </w:r>
      <w:r w:rsidR="00465BDF" w:rsidRPr="0099677A">
        <w:rPr>
          <w:b w:val="0"/>
          <w:sz w:val="20"/>
        </w:rPr>
        <w:t xml:space="preserve"> already started receiving data causing UE1 reception to fail. </w:t>
      </w:r>
    </w:p>
    <w:p w14:paraId="263744F1" w14:textId="20F8B83D" w:rsidR="00674737" w:rsidRDefault="00674737" w:rsidP="00674737">
      <w:pPr>
        <w:widowControl/>
        <w:wordWrap/>
        <w:autoSpaceDE/>
        <w:autoSpaceDN/>
        <w:jc w:val="left"/>
        <w:rPr>
          <w:rFonts w:ascii="Calibri" w:eastAsia="Times New Roman" w:hAnsi="Calibri" w:cs="Calibri"/>
          <w:color w:val="000000"/>
          <w:kern w:val="0"/>
          <w:sz w:val="22"/>
          <w:szCs w:val="22"/>
          <w:lang w:eastAsia="en-US"/>
        </w:rPr>
      </w:pPr>
    </w:p>
    <w:p w14:paraId="4BCE47DA" w14:textId="77777777" w:rsidR="009F74E3" w:rsidRDefault="009F74E3" w:rsidP="009F74E3">
      <w:pPr>
        <w:keepNext/>
        <w:widowControl/>
        <w:wordWrap/>
        <w:autoSpaceDE/>
        <w:autoSpaceDN/>
        <w:jc w:val="center"/>
      </w:pPr>
      <w:r>
        <w:rPr>
          <w:rFonts w:ascii="Calibri" w:eastAsia="Times New Roman" w:hAnsi="Calibri" w:cs="Calibri"/>
          <w:color w:val="000000"/>
          <w:kern w:val="0"/>
          <w:sz w:val="22"/>
          <w:szCs w:val="22"/>
          <w:lang w:eastAsia="en-US"/>
        </w:rPr>
        <w:object w:dxaOrig="13396" w:dyaOrig="4224" w14:anchorId="16DD6A88">
          <v:shape id="_x0000_i1028" type="#_x0000_t75" style="width:329.3pt;height:104.55pt" o:ole="">
            <v:imagedata r:id="rId19" o:title=""/>
          </v:shape>
          <o:OLEObject Type="Embed" ProgID="Visio.Drawing.11" ShapeID="_x0000_i1028" DrawAspect="Content" ObjectID="_1580306943" r:id="rId20"/>
        </w:object>
      </w:r>
    </w:p>
    <w:p w14:paraId="00C0D182" w14:textId="394C9BF0" w:rsidR="00640F5E" w:rsidRDefault="009F74E3" w:rsidP="009F74E3">
      <w:pPr>
        <w:pStyle w:val="Caption"/>
        <w:jc w:val="center"/>
        <w:rPr>
          <w:rFonts w:ascii="Calibri" w:eastAsia="Times New Roman" w:hAnsi="Calibri" w:cs="Calibri"/>
          <w:color w:val="000000"/>
          <w:sz w:val="22"/>
          <w:szCs w:val="22"/>
        </w:rPr>
      </w:pPr>
      <w:r>
        <w:t xml:space="preserve">Figure </w:t>
      </w:r>
      <w:r>
        <w:fldChar w:fldCharType="begin"/>
      </w:r>
      <w:r>
        <w:instrText xml:space="preserve"> SEQ Figure \* ARABIC </w:instrText>
      </w:r>
      <w:r>
        <w:fldChar w:fldCharType="separate"/>
      </w:r>
      <w:r w:rsidR="00847AB0">
        <w:rPr>
          <w:noProof/>
        </w:rPr>
        <w:t>4</w:t>
      </w:r>
      <w:r>
        <w:fldChar w:fldCharType="end"/>
      </w:r>
      <w:r>
        <w:t xml:space="preserve"> : Hidden Node Scenario</w:t>
      </w:r>
    </w:p>
    <w:p w14:paraId="234D16FC" w14:textId="46A5F62B" w:rsidR="00D26A8E" w:rsidRPr="0099677A" w:rsidRDefault="009F74E3" w:rsidP="00594582">
      <w:pPr>
        <w:pStyle w:val="LGTdoc1"/>
        <w:spacing w:beforeLines="0" w:before="120" w:after="220" w:afterAutospacing="0"/>
        <w:rPr>
          <w:b w:val="0"/>
          <w:sz w:val="20"/>
        </w:rPr>
      </w:pPr>
      <w:r w:rsidRPr="0099677A">
        <w:rPr>
          <w:b w:val="0"/>
          <w:sz w:val="20"/>
        </w:rPr>
        <w:t>The interference issues in s</w:t>
      </w:r>
      <w:r w:rsidR="00465BDF" w:rsidRPr="0099677A">
        <w:rPr>
          <w:b w:val="0"/>
          <w:sz w:val="20"/>
        </w:rPr>
        <w:t xml:space="preserve">uch scenarios can be </w:t>
      </w:r>
      <w:r w:rsidRPr="0099677A">
        <w:rPr>
          <w:b w:val="0"/>
          <w:sz w:val="20"/>
        </w:rPr>
        <w:t>mitigated</w:t>
      </w:r>
      <w:r w:rsidR="00465BDF" w:rsidRPr="0099677A">
        <w:rPr>
          <w:b w:val="0"/>
          <w:sz w:val="20"/>
        </w:rPr>
        <w:t xml:space="preserve"> by using channel </w:t>
      </w:r>
      <w:r w:rsidR="007D10DE" w:rsidRPr="0099677A">
        <w:rPr>
          <w:b w:val="0"/>
          <w:sz w:val="20"/>
        </w:rPr>
        <w:t xml:space="preserve">usage indicator </w:t>
      </w:r>
      <w:r w:rsidR="00465BDF" w:rsidRPr="0099677A">
        <w:rPr>
          <w:b w:val="0"/>
          <w:sz w:val="20"/>
        </w:rPr>
        <w:t xml:space="preserve">signals such as </w:t>
      </w:r>
      <w:r w:rsidRPr="0099677A">
        <w:rPr>
          <w:b w:val="0"/>
          <w:sz w:val="20"/>
        </w:rPr>
        <w:t xml:space="preserve">using the </w:t>
      </w:r>
      <w:r w:rsidR="00674737" w:rsidRPr="0099677A">
        <w:rPr>
          <w:b w:val="0"/>
          <w:sz w:val="20"/>
        </w:rPr>
        <w:t>protocol</w:t>
      </w:r>
      <w:r w:rsidRPr="0099677A">
        <w:rPr>
          <w:b w:val="0"/>
          <w:sz w:val="20"/>
        </w:rPr>
        <w:t xml:space="preserve"> described</w:t>
      </w:r>
      <w:r w:rsidR="00674737" w:rsidRPr="0099677A">
        <w:rPr>
          <w:b w:val="0"/>
          <w:sz w:val="20"/>
        </w:rPr>
        <w:t xml:space="preserve"> below:</w:t>
      </w:r>
    </w:p>
    <w:p w14:paraId="7AE510BC" w14:textId="505FEE0A" w:rsidR="00D26A8E" w:rsidRPr="0099677A" w:rsidRDefault="00D26A8E" w:rsidP="00594582">
      <w:pPr>
        <w:pStyle w:val="LGTdoc1"/>
        <w:numPr>
          <w:ilvl w:val="0"/>
          <w:numId w:val="24"/>
        </w:numPr>
        <w:spacing w:beforeLines="0" w:before="120" w:after="220" w:afterAutospacing="0"/>
        <w:rPr>
          <w:b w:val="0"/>
          <w:sz w:val="20"/>
        </w:rPr>
      </w:pPr>
      <w:r w:rsidRPr="0099677A">
        <w:rPr>
          <w:b w:val="0"/>
          <w:sz w:val="20"/>
        </w:rPr>
        <w:t>Each</w:t>
      </w:r>
      <w:r w:rsidR="00465BDF" w:rsidRPr="0099677A">
        <w:rPr>
          <w:b w:val="0"/>
          <w:sz w:val="20"/>
        </w:rPr>
        <w:t xml:space="preserve"> node</w:t>
      </w:r>
      <w:r w:rsidR="00674737" w:rsidRPr="0099677A">
        <w:rPr>
          <w:b w:val="0"/>
          <w:sz w:val="20"/>
        </w:rPr>
        <w:t xml:space="preserve"> </w:t>
      </w:r>
      <w:r w:rsidR="004A11BD" w:rsidRPr="0099677A">
        <w:rPr>
          <w:b w:val="0"/>
          <w:sz w:val="20"/>
        </w:rPr>
        <w:t xml:space="preserve">wishing to transmit </w:t>
      </w:r>
      <w:r w:rsidR="00674737" w:rsidRPr="0099677A">
        <w:rPr>
          <w:b w:val="0"/>
          <w:sz w:val="20"/>
        </w:rPr>
        <w:t>(e.g. gNB1)</w:t>
      </w:r>
      <w:r w:rsidR="00465BDF" w:rsidRPr="0099677A">
        <w:rPr>
          <w:b w:val="0"/>
          <w:sz w:val="20"/>
        </w:rPr>
        <w:t xml:space="preserve"> transmits </w:t>
      </w:r>
      <w:r w:rsidR="007D10DE" w:rsidRPr="0099677A">
        <w:rPr>
          <w:b w:val="0"/>
          <w:sz w:val="20"/>
        </w:rPr>
        <w:t>channel usage indicator for transmission (CUI-T)</w:t>
      </w:r>
      <w:r w:rsidRPr="0099677A">
        <w:rPr>
          <w:b w:val="0"/>
          <w:sz w:val="20"/>
        </w:rPr>
        <w:t xml:space="preserve"> prior to its data transmission</w:t>
      </w:r>
    </w:p>
    <w:p w14:paraId="4E2998D0" w14:textId="6BDB86A3" w:rsidR="00465BDF" w:rsidRPr="0099677A" w:rsidRDefault="00D26A8E" w:rsidP="00594582">
      <w:pPr>
        <w:pStyle w:val="LGTdoc1"/>
        <w:numPr>
          <w:ilvl w:val="0"/>
          <w:numId w:val="24"/>
        </w:numPr>
        <w:spacing w:beforeLines="0" w:before="120" w:after="220" w:afterAutospacing="0"/>
        <w:rPr>
          <w:b w:val="0"/>
          <w:sz w:val="20"/>
        </w:rPr>
      </w:pPr>
      <w:r w:rsidRPr="0099677A">
        <w:rPr>
          <w:b w:val="0"/>
          <w:sz w:val="20"/>
        </w:rPr>
        <w:t>The intended receiver</w:t>
      </w:r>
      <w:r w:rsidR="00674737" w:rsidRPr="0099677A">
        <w:rPr>
          <w:b w:val="0"/>
          <w:sz w:val="20"/>
        </w:rPr>
        <w:t xml:space="preserve"> (e.g. UE1)</w:t>
      </w:r>
      <w:r w:rsidRPr="0099677A">
        <w:rPr>
          <w:b w:val="0"/>
          <w:sz w:val="20"/>
        </w:rPr>
        <w:t xml:space="preserve"> transmits a </w:t>
      </w:r>
      <w:r w:rsidR="007D10DE" w:rsidRPr="0099677A">
        <w:rPr>
          <w:b w:val="0"/>
          <w:sz w:val="20"/>
        </w:rPr>
        <w:t>channel usage indicator for reception (CUI-R)</w:t>
      </w:r>
      <w:r w:rsidR="00465BDF" w:rsidRPr="0099677A">
        <w:rPr>
          <w:b w:val="0"/>
          <w:sz w:val="20"/>
        </w:rPr>
        <w:t xml:space="preserve"> </w:t>
      </w:r>
      <w:r w:rsidR="007D10DE" w:rsidRPr="0099677A">
        <w:rPr>
          <w:b w:val="0"/>
          <w:sz w:val="20"/>
        </w:rPr>
        <w:t>prior to scheduled data reception.</w:t>
      </w:r>
    </w:p>
    <w:p w14:paraId="56A4BC22" w14:textId="2C183A10" w:rsidR="00D26A8E" w:rsidRPr="0099677A" w:rsidRDefault="00465BDF" w:rsidP="00594582">
      <w:pPr>
        <w:pStyle w:val="LGTdoc1"/>
        <w:numPr>
          <w:ilvl w:val="0"/>
          <w:numId w:val="24"/>
        </w:numPr>
        <w:spacing w:beforeLines="0" w:before="120" w:after="220" w:afterAutospacing="0"/>
        <w:rPr>
          <w:b w:val="0"/>
          <w:sz w:val="20"/>
        </w:rPr>
      </w:pPr>
      <w:r w:rsidRPr="0099677A">
        <w:rPr>
          <w:b w:val="0"/>
          <w:sz w:val="20"/>
        </w:rPr>
        <w:t>Any node</w:t>
      </w:r>
      <w:r w:rsidR="00674737" w:rsidRPr="0099677A">
        <w:rPr>
          <w:b w:val="0"/>
          <w:sz w:val="20"/>
        </w:rPr>
        <w:t xml:space="preserve"> (e.g. gNB2/UE2) apart from the intended transmitter node (gNB1)</w:t>
      </w:r>
      <w:r w:rsidRPr="0099677A">
        <w:rPr>
          <w:b w:val="0"/>
          <w:sz w:val="20"/>
        </w:rPr>
        <w:t xml:space="preserve"> that receives the </w:t>
      </w:r>
      <w:r w:rsidR="007D10DE" w:rsidRPr="0099677A">
        <w:rPr>
          <w:b w:val="0"/>
          <w:sz w:val="20"/>
        </w:rPr>
        <w:t>CUI-R may withhold transmission</w:t>
      </w:r>
      <w:r w:rsidRPr="0099677A">
        <w:rPr>
          <w:b w:val="0"/>
          <w:sz w:val="20"/>
        </w:rPr>
        <w:t xml:space="preserve"> for the duration indicated by the </w:t>
      </w:r>
      <w:r w:rsidR="007D10DE" w:rsidRPr="0099677A">
        <w:rPr>
          <w:b w:val="0"/>
          <w:sz w:val="20"/>
        </w:rPr>
        <w:t>CUI-R if its transmission will lead to unacceptable interference level at the CUI-R transmitter</w:t>
      </w:r>
      <w:r w:rsidR="00674737" w:rsidRPr="0099677A">
        <w:rPr>
          <w:b w:val="0"/>
          <w:sz w:val="20"/>
        </w:rPr>
        <w:t xml:space="preserve"> (UE1)</w:t>
      </w:r>
      <w:r w:rsidRPr="0099677A">
        <w:rPr>
          <w:b w:val="0"/>
          <w:sz w:val="20"/>
        </w:rPr>
        <w:t xml:space="preserve"> </w:t>
      </w:r>
    </w:p>
    <w:p w14:paraId="71CA9CCD" w14:textId="321A8935" w:rsidR="00D26A8E" w:rsidRPr="0099677A" w:rsidRDefault="00674737" w:rsidP="00594582">
      <w:pPr>
        <w:pStyle w:val="LGTdoc1"/>
        <w:spacing w:beforeLines="0" w:before="120" w:after="220" w:afterAutospacing="0"/>
        <w:rPr>
          <w:b w:val="0"/>
          <w:sz w:val="20"/>
        </w:rPr>
      </w:pPr>
      <w:r w:rsidRPr="0099677A">
        <w:rPr>
          <w:b w:val="0"/>
          <w:sz w:val="20"/>
        </w:rPr>
        <w:t xml:space="preserve">The preparation stage could be used to exchange the channel </w:t>
      </w:r>
      <w:r w:rsidR="007D10DE" w:rsidRPr="0099677A">
        <w:rPr>
          <w:b w:val="0"/>
          <w:sz w:val="20"/>
        </w:rPr>
        <w:t xml:space="preserve">usage indicator </w:t>
      </w:r>
      <w:r w:rsidRPr="0099677A">
        <w:rPr>
          <w:b w:val="0"/>
          <w:sz w:val="20"/>
        </w:rPr>
        <w:t>signals described above and hence enable extracting the benefits of such protocols.</w:t>
      </w:r>
      <w:r w:rsidR="00465BDF" w:rsidRPr="0099677A">
        <w:rPr>
          <w:b w:val="0"/>
          <w:sz w:val="20"/>
        </w:rPr>
        <w:t xml:space="preserve"> </w:t>
      </w:r>
    </w:p>
    <w:p w14:paraId="5B76D0D4" w14:textId="1E23F862" w:rsidR="006C701B" w:rsidRPr="006C701B" w:rsidRDefault="003520EB" w:rsidP="003520EB">
      <w:pPr>
        <w:pStyle w:val="Heading2"/>
      </w:pPr>
      <w:r>
        <w:t xml:space="preserve">3.2 </w:t>
      </w:r>
      <w:r w:rsidR="00232635">
        <w:t>CSI Determination</w:t>
      </w:r>
    </w:p>
    <w:p w14:paraId="3CAFDE3E" w14:textId="666C9FBE" w:rsidR="00726473" w:rsidRPr="0099677A" w:rsidRDefault="00E02E59" w:rsidP="00594582">
      <w:pPr>
        <w:pStyle w:val="LGTdoc1"/>
        <w:spacing w:beforeLines="0" w:before="120" w:after="220" w:afterAutospacing="0"/>
        <w:rPr>
          <w:b w:val="0"/>
          <w:sz w:val="20"/>
        </w:rPr>
      </w:pPr>
      <w:bookmarkStart w:id="5" w:name="_Hlk506206519"/>
      <w:r w:rsidRPr="0099677A">
        <w:rPr>
          <w:b w:val="0"/>
          <w:sz w:val="20"/>
        </w:rPr>
        <w:t>The preparation stage can be used for fast link adaptation.</w:t>
      </w:r>
      <w:r w:rsidR="00AC38D4">
        <w:rPr>
          <w:b w:val="0"/>
          <w:sz w:val="20"/>
        </w:rPr>
        <w:t xml:space="preserve"> This</w:t>
      </w:r>
      <w:r w:rsidR="007D10DE" w:rsidRPr="0099677A">
        <w:rPr>
          <w:b w:val="0"/>
          <w:sz w:val="20"/>
        </w:rPr>
        <w:t xml:space="preserve"> is particularly important for unlicensed use case, where a UE does not have channel measurement opportunities between TxOPs, which can be sparse due to LBT requirement and the </w:t>
      </w:r>
      <w:r w:rsidR="00F05FC5" w:rsidRPr="0099677A">
        <w:rPr>
          <w:b w:val="0"/>
          <w:sz w:val="20"/>
        </w:rPr>
        <w:t>design guideline</w:t>
      </w:r>
      <w:r w:rsidR="007D10DE" w:rsidRPr="0099677A">
        <w:rPr>
          <w:b w:val="0"/>
          <w:sz w:val="20"/>
        </w:rPr>
        <w:t xml:space="preserve"> to not utilize the medium when there is no active traffic.</w:t>
      </w:r>
      <w:r w:rsidRPr="0099677A">
        <w:rPr>
          <w:b w:val="0"/>
          <w:sz w:val="20"/>
        </w:rPr>
        <w:t xml:space="preserve"> </w:t>
      </w:r>
      <w:bookmarkEnd w:id="5"/>
      <w:r w:rsidRPr="0099677A">
        <w:rPr>
          <w:b w:val="0"/>
          <w:sz w:val="20"/>
        </w:rPr>
        <w:t xml:space="preserve">For DL link adaptation, the preparation stage may include a CSI-RS transmission followed by CSI report by the UE. It may also include a trigger for SRS transmission in DL followed by an SRS transmission by the UE in UL (for example to determine reciprocity based precoding). For link adaptation in UL, the SRS </w:t>
      </w:r>
      <w:r w:rsidR="00726473" w:rsidRPr="0099677A">
        <w:rPr>
          <w:b w:val="0"/>
          <w:sz w:val="20"/>
        </w:rPr>
        <w:t>trigger followed by SRS transmission by the UE can be used.</w:t>
      </w:r>
      <w:r w:rsidRPr="0099677A">
        <w:rPr>
          <w:b w:val="0"/>
          <w:sz w:val="20"/>
        </w:rPr>
        <w:t xml:space="preserve"> </w:t>
      </w:r>
    </w:p>
    <w:p w14:paraId="0DDF3D37" w14:textId="47C35CA7" w:rsidR="00726473" w:rsidRPr="0099677A" w:rsidRDefault="00726473" w:rsidP="00594582">
      <w:pPr>
        <w:pStyle w:val="LGTdoc1"/>
        <w:spacing w:beforeLines="0" w:before="120" w:after="220" w:afterAutospacing="0"/>
        <w:rPr>
          <w:b w:val="0"/>
          <w:sz w:val="20"/>
        </w:rPr>
      </w:pPr>
      <w:r w:rsidRPr="0099677A">
        <w:rPr>
          <w:b w:val="0"/>
          <w:sz w:val="20"/>
        </w:rPr>
        <w:t xml:space="preserve">Including these signals in the preparation stage helps faster and more accurate selection of rank, precoder, and </w:t>
      </w:r>
      <w:r w:rsidR="00E02E59" w:rsidRPr="0099677A">
        <w:rPr>
          <w:b w:val="0"/>
          <w:sz w:val="20"/>
        </w:rPr>
        <w:t>MCS</w:t>
      </w:r>
      <w:r w:rsidRPr="0099677A">
        <w:rPr>
          <w:b w:val="0"/>
          <w:sz w:val="20"/>
        </w:rPr>
        <w:t xml:space="preserve"> leading to more efficient operation during the data transmission stage.</w:t>
      </w:r>
      <w:r w:rsidR="00E02E59" w:rsidRPr="0099677A">
        <w:rPr>
          <w:b w:val="0"/>
          <w:sz w:val="20"/>
        </w:rPr>
        <w:t xml:space="preserve"> In mmwave case this can also be used for beam </w:t>
      </w:r>
      <w:r w:rsidR="00B068DF" w:rsidRPr="0099677A">
        <w:rPr>
          <w:b w:val="0"/>
          <w:sz w:val="20"/>
        </w:rPr>
        <w:t>management</w:t>
      </w:r>
      <w:r w:rsidR="00E02E59" w:rsidRPr="0099677A">
        <w:rPr>
          <w:b w:val="0"/>
          <w:sz w:val="20"/>
        </w:rPr>
        <w:t xml:space="preserve">. </w:t>
      </w:r>
    </w:p>
    <w:p w14:paraId="7A62B4E4" w14:textId="54D0F56B" w:rsidR="00594582" w:rsidRPr="0099677A" w:rsidRDefault="00594582" w:rsidP="00594582">
      <w:pPr>
        <w:pStyle w:val="LGTdoc1"/>
        <w:spacing w:beforeLines="0" w:before="120" w:after="220" w:afterAutospacing="0"/>
        <w:rPr>
          <w:sz w:val="20"/>
        </w:rPr>
      </w:pPr>
      <w:r w:rsidRPr="0099677A">
        <w:rPr>
          <w:sz w:val="20"/>
          <w:u w:val="single"/>
        </w:rPr>
        <w:t xml:space="preserve">Proposal 2: </w:t>
      </w:r>
      <w:r w:rsidRPr="0099677A">
        <w:rPr>
          <w:sz w:val="20"/>
        </w:rPr>
        <w:t xml:space="preserve">The preparation stage may comprise multiple DL and UL portions to exchange control information such as for CSI or channel usage indication </w:t>
      </w:r>
    </w:p>
    <w:p w14:paraId="0DD87E91" w14:textId="531F3AE3" w:rsidR="00547160" w:rsidRDefault="00232635" w:rsidP="003520EB">
      <w:pPr>
        <w:pStyle w:val="Heading1"/>
      </w:pPr>
      <w:r>
        <w:t>Data Transmission Stage</w:t>
      </w:r>
    </w:p>
    <w:bookmarkEnd w:id="1"/>
    <w:bookmarkEnd w:id="2"/>
    <w:p w14:paraId="66BEA5C8" w14:textId="2F43012E" w:rsidR="00704D0F" w:rsidRPr="0099677A" w:rsidRDefault="00DC0D2C" w:rsidP="00594582">
      <w:pPr>
        <w:pStyle w:val="LGTdoc1"/>
        <w:spacing w:beforeLines="0" w:before="120" w:after="220" w:afterAutospacing="0"/>
        <w:rPr>
          <w:b w:val="0"/>
          <w:sz w:val="20"/>
        </w:rPr>
      </w:pPr>
      <w:r w:rsidRPr="0099677A">
        <w:rPr>
          <w:b w:val="0"/>
          <w:sz w:val="20"/>
        </w:rPr>
        <w:t>In NR</w:t>
      </w:r>
      <w:r w:rsidR="002E550B" w:rsidRPr="0099677A">
        <w:rPr>
          <w:b w:val="0"/>
          <w:sz w:val="20"/>
        </w:rPr>
        <w:t>,</w:t>
      </w:r>
      <w:r w:rsidRPr="0099677A">
        <w:rPr>
          <w:b w:val="0"/>
          <w:sz w:val="20"/>
        </w:rPr>
        <w:t xml:space="preserve"> self</w:t>
      </w:r>
      <w:r w:rsidR="008A7119" w:rsidRPr="0099677A">
        <w:rPr>
          <w:b w:val="0"/>
          <w:sz w:val="20"/>
        </w:rPr>
        <w:t>-</w:t>
      </w:r>
      <w:r w:rsidRPr="0099677A">
        <w:rPr>
          <w:b w:val="0"/>
          <w:sz w:val="20"/>
        </w:rPr>
        <w:t xml:space="preserve">contained slots have been introduced that allow DL grant, DL data and UL ACK to go on the same slot. </w:t>
      </w:r>
      <w:r w:rsidR="007468EF" w:rsidRPr="0099677A">
        <w:rPr>
          <w:b w:val="0"/>
          <w:sz w:val="20"/>
        </w:rPr>
        <w:t>Such a design allows low latency, fast link adaptation based on the ACK/NACK feedback, and reduces the number of HARQ processes that need to be supported (which impacts the soft buffer memory requirements). However</w:t>
      </w:r>
      <w:r w:rsidR="00BB6420" w:rsidRPr="0099677A">
        <w:rPr>
          <w:b w:val="0"/>
          <w:sz w:val="20"/>
        </w:rPr>
        <w:t>,</w:t>
      </w:r>
      <w:r w:rsidR="007468EF" w:rsidRPr="0099677A">
        <w:rPr>
          <w:b w:val="0"/>
          <w:sz w:val="20"/>
        </w:rPr>
        <w:t xml:space="preserve"> use of such frequent switch between DL and UL could result in other nodes gaining access to the medium. Some of this can be mitigated by having an ACK for a group of slots. An alternative design approach would be to allow only one switch between DL and UL (eLAA uses such an approach). However, we feel such an option would be quite restrictive</w:t>
      </w:r>
      <w:r w:rsidR="00640F5E" w:rsidRPr="0099677A">
        <w:rPr>
          <w:b w:val="0"/>
          <w:sz w:val="20"/>
        </w:rPr>
        <w:t xml:space="preserve"> and limit the potential that NR offers</w:t>
      </w:r>
      <w:r w:rsidR="007468EF" w:rsidRPr="0099677A">
        <w:rPr>
          <w:b w:val="0"/>
          <w:sz w:val="20"/>
        </w:rPr>
        <w:t>.</w:t>
      </w:r>
      <w:r w:rsidR="00F05FC5" w:rsidRPr="0099677A">
        <w:rPr>
          <w:b w:val="0"/>
          <w:sz w:val="20"/>
        </w:rPr>
        <w:t xml:space="preserve"> </w:t>
      </w:r>
      <w:r w:rsidR="00847AB0" w:rsidRPr="0099677A">
        <w:rPr>
          <w:b w:val="0"/>
          <w:sz w:val="20"/>
        </w:rPr>
        <w:t>Additionally</w:t>
      </w:r>
      <w:r w:rsidR="00F05FC5" w:rsidRPr="0099677A">
        <w:rPr>
          <w:b w:val="0"/>
          <w:sz w:val="20"/>
        </w:rPr>
        <w:t>, as mentioned before, if the switching time is small (e.g. &lt;16us) LBT may not be needed between the switches.</w:t>
      </w:r>
      <w:r w:rsidR="007468EF" w:rsidRPr="0099677A">
        <w:rPr>
          <w:b w:val="0"/>
          <w:sz w:val="20"/>
        </w:rPr>
        <w:t xml:space="preserve"> We hence propose allowing multiple switching points in the data transmission portion of the TxOP for NR</w:t>
      </w:r>
      <w:r w:rsidR="00640F5E" w:rsidRPr="0099677A">
        <w:rPr>
          <w:b w:val="0"/>
          <w:sz w:val="20"/>
        </w:rPr>
        <w:t>.</w:t>
      </w:r>
    </w:p>
    <w:bookmarkStart w:id="6" w:name="_Hlk506206712"/>
    <w:p w14:paraId="0D293B09" w14:textId="091B8BD0" w:rsidR="00640F5E" w:rsidRDefault="00767959" w:rsidP="00640F5E">
      <w:pPr>
        <w:pStyle w:val="LGTdoc1"/>
        <w:keepNext/>
        <w:spacing w:beforeLines="0" w:before="120" w:after="220" w:afterAutospacing="0"/>
      </w:pPr>
      <w:r>
        <w:rPr>
          <w:sz w:val="22"/>
          <w:szCs w:val="22"/>
        </w:rPr>
        <w:object w:dxaOrig="9550" w:dyaOrig="2807" w14:anchorId="28ED2572">
          <v:shape id="_x0000_i1029" type="#_x0000_t75" style="width:477.7pt;height:140.25pt" o:ole="">
            <v:imagedata r:id="rId21" o:title=""/>
          </v:shape>
          <o:OLEObject Type="Embed" ProgID="Visio.Drawing.11" ShapeID="_x0000_i1029" DrawAspect="Content" ObjectID="_1580306944" r:id="rId22"/>
        </w:object>
      </w:r>
      <w:bookmarkEnd w:id="6"/>
    </w:p>
    <w:p w14:paraId="0CF6E949" w14:textId="38911016" w:rsidR="00767959" w:rsidRPr="00A75C4D" w:rsidRDefault="00640F5E" w:rsidP="00640F5E">
      <w:pPr>
        <w:pStyle w:val="Caption"/>
        <w:jc w:val="center"/>
        <w:rPr>
          <w:sz w:val="22"/>
          <w:szCs w:val="22"/>
        </w:rPr>
      </w:pPr>
      <w:r>
        <w:t xml:space="preserve">Figure </w:t>
      </w:r>
      <w:r>
        <w:fldChar w:fldCharType="begin"/>
      </w:r>
      <w:r>
        <w:instrText xml:space="preserve"> SEQ Figure \* ARABIC </w:instrText>
      </w:r>
      <w:r>
        <w:fldChar w:fldCharType="separate"/>
      </w:r>
      <w:r w:rsidR="00847AB0">
        <w:rPr>
          <w:noProof/>
        </w:rPr>
        <w:t>5</w:t>
      </w:r>
      <w:r>
        <w:fldChar w:fldCharType="end"/>
      </w:r>
      <w:r>
        <w:t>: Data transmission stage with self</w:t>
      </w:r>
      <w:r w:rsidR="00D63F7E">
        <w:t>-</w:t>
      </w:r>
      <w:r>
        <w:t>contained slots.</w:t>
      </w:r>
    </w:p>
    <w:p w14:paraId="49CF7D2E" w14:textId="4AE83745" w:rsidR="00594582" w:rsidRPr="00E351E2" w:rsidRDefault="00594582" w:rsidP="00594582">
      <w:pPr>
        <w:pStyle w:val="LGTdoc1"/>
        <w:spacing w:beforeLines="0" w:before="120" w:after="220" w:afterAutospacing="0"/>
        <w:rPr>
          <w:sz w:val="22"/>
          <w:szCs w:val="22"/>
        </w:rPr>
      </w:pPr>
      <w:r w:rsidRPr="00E351E2">
        <w:rPr>
          <w:sz w:val="22"/>
          <w:szCs w:val="22"/>
          <w:u w:val="single"/>
        </w:rPr>
        <w:t xml:space="preserve">Proposal </w:t>
      </w:r>
      <w:r>
        <w:rPr>
          <w:sz w:val="22"/>
          <w:szCs w:val="22"/>
          <w:u w:val="single"/>
        </w:rPr>
        <w:t>3</w:t>
      </w:r>
      <w:r w:rsidRPr="00E351E2">
        <w:rPr>
          <w:sz w:val="22"/>
          <w:szCs w:val="22"/>
          <w:u w:val="single"/>
        </w:rPr>
        <w:t>:</w:t>
      </w:r>
      <w:r>
        <w:rPr>
          <w:sz w:val="22"/>
          <w:szCs w:val="22"/>
          <w:u w:val="single"/>
        </w:rPr>
        <w:t xml:space="preserve"> </w:t>
      </w:r>
      <w:r w:rsidRPr="00E351E2">
        <w:rPr>
          <w:sz w:val="22"/>
          <w:szCs w:val="22"/>
        </w:rPr>
        <w:t xml:space="preserve">The data transmission stage </w:t>
      </w:r>
      <w:r>
        <w:rPr>
          <w:sz w:val="22"/>
          <w:szCs w:val="22"/>
        </w:rPr>
        <w:t>may</w:t>
      </w:r>
      <w:r w:rsidRPr="00E351E2">
        <w:rPr>
          <w:sz w:val="22"/>
          <w:szCs w:val="22"/>
        </w:rPr>
        <w:t xml:space="preserve"> contain multiple DL and UL switch</w:t>
      </w:r>
      <w:r>
        <w:rPr>
          <w:sz w:val="22"/>
          <w:szCs w:val="22"/>
        </w:rPr>
        <w:t>es</w:t>
      </w:r>
      <w:r w:rsidRPr="00E351E2">
        <w:rPr>
          <w:sz w:val="22"/>
          <w:szCs w:val="22"/>
        </w:rPr>
        <w:t xml:space="preserve"> to accommodate self-contained slots.</w:t>
      </w:r>
    </w:p>
    <w:p w14:paraId="14F8C997" w14:textId="5EAA5D3B" w:rsidR="0095302F" w:rsidRDefault="0095302F" w:rsidP="003520EB">
      <w:pPr>
        <w:pStyle w:val="Heading1"/>
      </w:pPr>
      <w:r>
        <w:t>TxOP Starting/Ending Positions</w:t>
      </w:r>
    </w:p>
    <w:p w14:paraId="61F75F64" w14:textId="3022F5AF" w:rsidR="0097374C" w:rsidRPr="0099677A" w:rsidRDefault="0095302F" w:rsidP="00594582">
      <w:pPr>
        <w:pStyle w:val="LGTdoc1"/>
        <w:spacing w:beforeLines="0" w:before="120" w:after="220" w:afterAutospacing="0"/>
        <w:rPr>
          <w:b w:val="0"/>
          <w:sz w:val="20"/>
        </w:rPr>
      </w:pPr>
      <w:r w:rsidRPr="0099677A">
        <w:rPr>
          <w:b w:val="0"/>
          <w:sz w:val="20"/>
        </w:rPr>
        <w:t xml:space="preserve">Since the LBT measurement slots </w:t>
      </w:r>
      <w:r w:rsidR="003359E4" w:rsidRPr="0099677A">
        <w:rPr>
          <w:b w:val="0"/>
          <w:sz w:val="20"/>
        </w:rPr>
        <w:t>may</w:t>
      </w:r>
      <w:r w:rsidRPr="0099677A">
        <w:rPr>
          <w:b w:val="0"/>
          <w:sz w:val="20"/>
        </w:rPr>
        <w:t xml:space="preserve"> not</w:t>
      </w:r>
      <w:r w:rsidR="003359E4" w:rsidRPr="0099677A">
        <w:rPr>
          <w:b w:val="0"/>
          <w:sz w:val="20"/>
        </w:rPr>
        <w:t xml:space="preserve"> be</w:t>
      </w:r>
      <w:r w:rsidRPr="0099677A">
        <w:rPr>
          <w:b w:val="0"/>
          <w:sz w:val="20"/>
        </w:rPr>
        <w:t xml:space="preserve"> </w:t>
      </w:r>
      <w:r w:rsidR="0087291E" w:rsidRPr="0099677A">
        <w:rPr>
          <w:b w:val="0"/>
          <w:sz w:val="20"/>
        </w:rPr>
        <w:t xml:space="preserve">aligned with </w:t>
      </w:r>
      <w:r w:rsidRPr="0099677A">
        <w:rPr>
          <w:b w:val="0"/>
          <w:sz w:val="20"/>
        </w:rPr>
        <w:t xml:space="preserve">the NR slot boundaries, on many occasions the LBT process may succeed </w:t>
      </w:r>
      <w:r w:rsidR="0087291E" w:rsidRPr="0099677A">
        <w:rPr>
          <w:b w:val="0"/>
          <w:sz w:val="20"/>
        </w:rPr>
        <w:t>between</w:t>
      </w:r>
      <w:r w:rsidRPr="0099677A">
        <w:rPr>
          <w:b w:val="0"/>
          <w:sz w:val="20"/>
        </w:rPr>
        <w:t xml:space="preserve"> </w:t>
      </w:r>
      <w:r w:rsidR="0087291E" w:rsidRPr="0099677A">
        <w:rPr>
          <w:b w:val="0"/>
          <w:sz w:val="20"/>
        </w:rPr>
        <w:t xml:space="preserve">NR </w:t>
      </w:r>
      <w:r w:rsidRPr="0099677A">
        <w:rPr>
          <w:b w:val="0"/>
          <w:sz w:val="20"/>
        </w:rPr>
        <w:t>slot boundar</w:t>
      </w:r>
      <w:r w:rsidR="0087291E" w:rsidRPr="0099677A">
        <w:rPr>
          <w:b w:val="0"/>
          <w:sz w:val="20"/>
        </w:rPr>
        <w:t>ies</w:t>
      </w:r>
      <w:r w:rsidRPr="0099677A">
        <w:rPr>
          <w:b w:val="0"/>
          <w:sz w:val="20"/>
        </w:rPr>
        <w:t xml:space="preserve">. If the TxOP starting positions are limited to slot boundaries this could result in significant wastage of the TxOP resources as shown in Fig. </w:t>
      </w:r>
      <w:r w:rsidR="00847AB0" w:rsidRPr="0099677A">
        <w:rPr>
          <w:b w:val="0"/>
          <w:sz w:val="20"/>
        </w:rPr>
        <w:t xml:space="preserve">6 </w:t>
      </w:r>
      <w:r w:rsidRPr="0099677A">
        <w:rPr>
          <w:b w:val="0"/>
          <w:sz w:val="20"/>
        </w:rPr>
        <w:t xml:space="preserve">below. </w:t>
      </w:r>
    </w:p>
    <w:p w14:paraId="19DCEC71" w14:textId="3BBF782D" w:rsidR="003359E4" w:rsidRDefault="00FB43ED" w:rsidP="003359E4">
      <w:pPr>
        <w:pStyle w:val="ListParagraph"/>
        <w:keepNext/>
        <w:ind w:leftChars="0" w:left="0"/>
        <w:jc w:val="center"/>
      </w:pPr>
      <w:r>
        <w:rPr>
          <w:rFonts w:ascii="Arial" w:hAnsi="Arial" w:cs="Arial"/>
        </w:rPr>
        <w:object w:dxaOrig="12767" w:dyaOrig="3285" w14:anchorId="6CD56B04">
          <v:shape id="_x0000_i1030" type="#_x0000_t75" style="width:343.1pt;height:88.3pt" o:ole="">
            <v:imagedata r:id="rId23" o:title=""/>
          </v:shape>
          <o:OLEObject Type="Embed" ProgID="Visio.Drawing.11" ShapeID="_x0000_i1030" DrawAspect="Content" ObjectID="_1580306945" r:id="rId24"/>
        </w:object>
      </w:r>
    </w:p>
    <w:p w14:paraId="41E6B5A3" w14:textId="4837FE4F" w:rsidR="0095302F" w:rsidRDefault="003359E4" w:rsidP="003359E4">
      <w:pPr>
        <w:pStyle w:val="Caption"/>
        <w:jc w:val="center"/>
        <w:rPr>
          <w:rFonts w:ascii="Arial" w:hAnsi="Arial" w:cs="Arial"/>
        </w:rPr>
      </w:pPr>
      <w:r>
        <w:t xml:space="preserve">Figure </w:t>
      </w:r>
      <w:r>
        <w:fldChar w:fldCharType="begin"/>
      </w:r>
      <w:r>
        <w:instrText xml:space="preserve"> SEQ Figure \* ARABIC </w:instrText>
      </w:r>
      <w:r>
        <w:fldChar w:fldCharType="separate"/>
      </w:r>
      <w:r w:rsidR="00847AB0">
        <w:rPr>
          <w:noProof/>
        </w:rPr>
        <w:t>6</w:t>
      </w:r>
      <w:r>
        <w:fldChar w:fldCharType="end"/>
      </w:r>
      <w:r>
        <w:t>: Resource wastage if only full slot transmission</w:t>
      </w:r>
      <w:r w:rsidR="00FC7A26">
        <w:t>s</w:t>
      </w:r>
      <w:r>
        <w:t xml:space="preserve"> are allowed</w:t>
      </w:r>
    </w:p>
    <w:p w14:paraId="4197F3E1" w14:textId="77777777" w:rsidR="003359E4" w:rsidRPr="0099677A" w:rsidRDefault="003359E4" w:rsidP="003359E4">
      <w:pPr>
        <w:pStyle w:val="ListParagraph"/>
        <w:ind w:leftChars="0" w:left="0"/>
        <w:jc w:val="center"/>
        <w:rPr>
          <w:rFonts w:ascii="Calibri" w:eastAsia="Times New Roman" w:hAnsi="Calibri" w:cs="Calibri"/>
          <w:color w:val="000000"/>
          <w:sz w:val="20"/>
          <w:szCs w:val="20"/>
          <w:lang w:eastAsia="en-US"/>
        </w:rPr>
      </w:pPr>
    </w:p>
    <w:p w14:paraId="0D523AFD" w14:textId="1E02994D" w:rsidR="0095302F" w:rsidRPr="0099677A" w:rsidRDefault="0095302F" w:rsidP="00594582">
      <w:pPr>
        <w:pStyle w:val="LGTdoc1"/>
        <w:spacing w:beforeLines="0" w:before="120" w:after="220" w:afterAutospacing="0"/>
        <w:rPr>
          <w:b w:val="0"/>
          <w:sz w:val="20"/>
        </w:rPr>
      </w:pPr>
      <w:r w:rsidRPr="0099677A">
        <w:rPr>
          <w:b w:val="0"/>
          <w:sz w:val="20"/>
        </w:rPr>
        <w:t xml:space="preserve">Similar issues were identified in LTE during design of LAA and eLAA. To reduce the </w:t>
      </w:r>
      <w:r w:rsidR="005F7851" w:rsidRPr="0099677A">
        <w:rPr>
          <w:b w:val="0"/>
          <w:sz w:val="20"/>
        </w:rPr>
        <w:t xml:space="preserve">TxOP </w:t>
      </w:r>
      <w:r w:rsidRPr="0099677A">
        <w:rPr>
          <w:b w:val="0"/>
          <w:sz w:val="20"/>
        </w:rPr>
        <w:t xml:space="preserve">resource wastage the first </w:t>
      </w:r>
      <w:r w:rsidR="00947B6C" w:rsidRPr="0099677A">
        <w:rPr>
          <w:b w:val="0"/>
          <w:sz w:val="20"/>
        </w:rPr>
        <w:t>allocation</w:t>
      </w:r>
      <w:r w:rsidR="003359E4" w:rsidRPr="0099677A">
        <w:rPr>
          <w:b w:val="0"/>
          <w:sz w:val="20"/>
        </w:rPr>
        <w:t xml:space="preserve"> in the TxOP</w:t>
      </w:r>
      <w:r w:rsidRPr="0099677A">
        <w:rPr>
          <w:b w:val="0"/>
          <w:sz w:val="20"/>
        </w:rPr>
        <w:t xml:space="preserve"> was allowed </w:t>
      </w:r>
      <w:r w:rsidR="003359E4" w:rsidRPr="0099677A">
        <w:rPr>
          <w:b w:val="0"/>
          <w:sz w:val="20"/>
        </w:rPr>
        <w:t>to be half-</w:t>
      </w:r>
      <w:r w:rsidR="0087291E" w:rsidRPr="0099677A">
        <w:rPr>
          <w:b w:val="0"/>
          <w:sz w:val="20"/>
        </w:rPr>
        <w:t>subframe</w:t>
      </w:r>
      <w:r w:rsidR="003359E4" w:rsidRPr="0099677A">
        <w:rPr>
          <w:b w:val="0"/>
          <w:sz w:val="20"/>
        </w:rPr>
        <w:t xml:space="preserve"> long i.e. first </w:t>
      </w:r>
      <w:r w:rsidR="00A90813" w:rsidRPr="0099677A">
        <w:rPr>
          <w:b w:val="0"/>
          <w:sz w:val="20"/>
        </w:rPr>
        <w:t xml:space="preserve">slot </w:t>
      </w:r>
      <w:r w:rsidR="003359E4" w:rsidRPr="0099677A">
        <w:rPr>
          <w:b w:val="0"/>
          <w:sz w:val="20"/>
        </w:rPr>
        <w:t>was allowed to start at symbol 7 as well instead of symbol 0 always</w:t>
      </w:r>
      <w:r w:rsidRPr="0099677A">
        <w:rPr>
          <w:b w:val="0"/>
          <w:sz w:val="20"/>
        </w:rPr>
        <w:t>. Similarly</w:t>
      </w:r>
      <w:r w:rsidR="00F05FC5" w:rsidRPr="0099677A">
        <w:rPr>
          <w:b w:val="0"/>
          <w:sz w:val="20"/>
        </w:rPr>
        <w:t>,</w:t>
      </w:r>
      <w:r w:rsidRPr="0099677A">
        <w:rPr>
          <w:b w:val="0"/>
          <w:sz w:val="20"/>
        </w:rPr>
        <w:t xml:space="preserve"> the </w:t>
      </w:r>
      <w:r w:rsidR="005F7851" w:rsidRPr="0099677A">
        <w:rPr>
          <w:b w:val="0"/>
          <w:sz w:val="20"/>
        </w:rPr>
        <w:t>last</w:t>
      </w:r>
      <w:r w:rsidRPr="0099677A">
        <w:rPr>
          <w:b w:val="0"/>
          <w:sz w:val="20"/>
        </w:rPr>
        <w:t xml:space="preserve"> slot was allowed to take multiple sizes</w:t>
      </w:r>
      <w:r w:rsidR="00EE53FE" w:rsidRPr="0099677A">
        <w:rPr>
          <w:b w:val="0"/>
          <w:sz w:val="20"/>
        </w:rPr>
        <w:t xml:space="preserve"> as t</w:t>
      </w:r>
      <w:r w:rsidR="0087291E" w:rsidRPr="0099677A">
        <w:rPr>
          <w:b w:val="0"/>
          <w:sz w:val="20"/>
        </w:rPr>
        <w:t>h</w:t>
      </w:r>
      <w:r w:rsidR="00EE53FE" w:rsidRPr="0099677A">
        <w:rPr>
          <w:b w:val="0"/>
          <w:sz w:val="20"/>
        </w:rPr>
        <w:t xml:space="preserve">e end of the TxOP </w:t>
      </w:r>
      <w:r w:rsidR="00947B6C" w:rsidRPr="0099677A">
        <w:rPr>
          <w:b w:val="0"/>
          <w:sz w:val="20"/>
        </w:rPr>
        <w:t xml:space="preserve">as </w:t>
      </w:r>
      <w:r w:rsidR="00EE53FE" w:rsidRPr="0099677A">
        <w:rPr>
          <w:b w:val="0"/>
          <w:sz w:val="20"/>
        </w:rPr>
        <w:t>MCOT after LBT pass may not align with a slot boundary</w:t>
      </w:r>
      <w:r w:rsidRPr="0099677A">
        <w:rPr>
          <w:b w:val="0"/>
          <w:sz w:val="20"/>
        </w:rPr>
        <w:t xml:space="preserve">. </w:t>
      </w:r>
      <w:r w:rsidR="005F7851" w:rsidRPr="0099677A">
        <w:rPr>
          <w:b w:val="0"/>
          <w:sz w:val="20"/>
        </w:rPr>
        <w:t xml:space="preserve">NR unlicensed should continue to support such a </w:t>
      </w:r>
      <w:r w:rsidR="003359E4" w:rsidRPr="0099677A">
        <w:rPr>
          <w:b w:val="0"/>
          <w:sz w:val="20"/>
        </w:rPr>
        <w:t>design</w:t>
      </w:r>
      <w:r w:rsidR="005F7851" w:rsidRPr="0099677A">
        <w:rPr>
          <w:b w:val="0"/>
          <w:sz w:val="20"/>
        </w:rPr>
        <w:t xml:space="preserve"> with multiple starting locations for the first slot and multiple ending locations </w:t>
      </w:r>
      <w:r w:rsidR="003359E4" w:rsidRPr="0099677A">
        <w:rPr>
          <w:b w:val="0"/>
          <w:sz w:val="20"/>
        </w:rPr>
        <w:t>f</w:t>
      </w:r>
      <w:r w:rsidR="005F7851" w:rsidRPr="0099677A">
        <w:rPr>
          <w:b w:val="0"/>
          <w:sz w:val="20"/>
        </w:rPr>
        <w:t>or the last slot</w:t>
      </w:r>
      <w:r w:rsidR="00FC7A26" w:rsidRPr="0099677A">
        <w:rPr>
          <w:b w:val="0"/>
          <w:sz w:val="20"/>
        </w:rPr>
        <w:t xml:space="preserve"> to allow reducing such LBT</w:t>
      </w:r>
      <w:r w:rsidR="00EE53FE" w:rsidRPr="0099677A">
        <w:rPr>
          <w:b w:val="0"/>
          <w:sz w:val="20"/>
        </w:rPr>
        <w:t>, MCOT,</w:t>
      </w:r>
      <w:r w:rsidR="00FC7A26" w:rsidRPr="0099677A">
        <w:rPr>
          <w:b w:val="0"/>
          <w:sz w:val="20"/>
        </w:rPr>
        <w:t xml:space="preserve"> and NR slot alignment overhead</w:t>
      </w:r>
      <w:r w:rsidR="005F7851" w:rsidRPr="0099677A">
        <w:rPr>
          <w:b w:val="0"/>
          <w:sz w:val="20"/>
        </w:rPr>
        <w:t xml:space="preserve">. </w:t>
      </w:r>
    </w:p>
    <w:p w14:paraId="59D84DB2" w14:textId="01DFBDF1" w:rsidR="0095302F" w:rsidRPr="0099677A" w:rsidRDefault="0095302F" w:rsidP="00594582">
      <w:pPr>
        <w:pStyle w:val="LGTdoc1"/>
        <w:spacing w:beforeLines="0" w:before="120" w:after="220" w:afterAutospacing="0"/>
        <w:rPr>
          <w:b w:val="0"/>
          <w:sz w:val="20"/>
        </w:rPr>
      </w:pPr>
      <w:r w:rsidRPr="0099677A">
        <w:rPr>
          <w:b w:val="0"/>
          <w:sz w:val="20"/>
        </w:rPr>
        <w:t xml:space="preserve">NR inherently already supports variable </w:t>
      </w:r>
      <w:r w:rsidR="00FC7A26" w:rsidRPr="0099677A">
        <w:rPr>
          <w:b w:val="0"/>
          <w:sz w:val="20"/>
        </w:rPr>
        <w:t>time domain allocation</w:t>
      </w:r>
      <w:r w:rsidRPr="0099677A">
        <w:rPr>
          <w:b w:val="0"/>
          <w:sz w:val="20"/>
        </w:rPr>
        <w:t xml:space="preserve"> sizes</w:t>
      </w:r>
      <w:r w:rsidR="005F7851" w:rsidRPr="0099677A">
        <w:rPr>
          <w:b w:val="0"/>
          <w:sz w:val="20"/>
        </w:rPr>
        <w:t xml:space="preserve"> (e..g mini slots,</w:t>
      </w:r>
      <w:r w:rsidR="00FC7A26" w:rsidRPr="0099677A">
        <w:rPr>
          <w:b w:val="0"/>
          <w:sz w:val="20"/>
        </w:rPr>
        <w:t xml:space="preserve"> variable SCS,</w:t>
      </w:r>
      <w:r w:rsidR="005F7851" w:rsidRPr="0099677A">
        <w:rPr>
          <w:b w:val="0"/>
          <w:sz w:val="20"/>
        </w:rPr>
        <w:t xml:space="preserve"> time domain symbol allocation support</w:t>
      </w:r>
      <w:r w:rsidR="00FC7A26" w:rsidRPr="0099677A">
        <w:rPr>
          <w:b w:val="0"/>
          <w:sz w:val="20"/>
        </w:rPr>
        <w:t xml:space="preserve"> etc</w:t>
      </w:r>
      <w:r w:rsidR="005F7851" w:rsidRPr="0099677A">
        <w:rPr>
          <w:b w:val="0"/>
          <w:sz w:val="20"/>
        </w:rPr>
        <w:t>)</w:t>
      </w:r>
      <w:r w:rsidRPr="0099677A">
        <w:rPr>
          <w:b w:val="0"/>
          <w:sz w:val="20"/>
        </w:rPr>
        <w:t xml:space="preserve"> hence </w:t>
      </w:r>
      <w:r w:rsidR="005F7851" w:rsidRPr="0099677A">
        <w:rPr>
          <w:b w:val="0"/>
          <w:sz w:val="20"/>
        </w:rPr>
        <w:t>it should be able to better utilize the TxOP</w:t>
      </w:r>
      <w:r w:rsidR="00FC7A26" w:rsidRPr="0099677A">
        <w:rPr>
          <w:b w:val="0"/>
          <w:sz w:val="20"/>
        </w:rPr>
        <w:t>. For the last slot in the TxOP particularly</w:t>
      </w:r>
      <w:r w:rsidR="00A90813" w:rsidRPr="0099677A">
        <w:rPr>
          <w:b w:val="0"/>
          <w:sz w:val="20"/>
        </w:rPr>
        <w:t>,</w:t>
      </w:r>
      <w:r w:rsidR="00FC7A26" w:rsidRPr="0099677A">
        <w:rPr>
          <w:b w:val="0"/>
          <w:sz w:val="20"/>
        </w:rPr>
        <w:t xml:space="preserve"> the </w:t>
      </w:r>
      <w:r w:rsidR="00A90813" w:rsidRPr="0099677A">
        <w:rPr>
          <w:b w:val="0"/>
          <w:sz w:val="20"/>
        </w:rPr>
        <w:t xml:space="preserve">existing </w:t>
      </w:r>
      <w:r w:rsidR="00FC7A26" w:rsidRPr="0099677A">
        <w:rPr>
          <w:b w:val="0"/>
          <w:sz w:val="20"/>
        </w:rPr>
        <w:t xml:space="preserve">NR design </w:t>
      </w:r>
      <w:r w:rsidR="00A90813" w:rsidRPr="0099677A">
        <w:rPr>
          <w:b w:val="0"/>
          <w:sz w:val="20"/>
        </w:rPr>
        <w:t xml:space="preserve">itself </w:t>
      </w:r>
      <w:r w:rsidR="004D42B1" w:rsidRPr="0099677A">
        <w:rPr>
          <w:b w:val="0"/>
          <w:sz w:val="20"/>
        </w:rPr>
        <w:t xml:space="preserve">should </w:t>
      </w:r>
      <w:r w:rsidR="00EE53FE" w:rsidRPr="0099677A">
        <w:rPr>
          <w:b w:val="0"/>
          <w:sz w:val="20"/>
        </w:rPr>
        <w:t>likely be sufficient</w:t>
      </w:r>
      <w:r w:rsidR="00FC7A26" w:rsidRPr="0099677A">
        <w:rPr>
          <w:b w:val="0"/>
          <w:sz w:val="20"/>
        </w:rPr>
        <w:t>.</w:t>
      </w:r>
      <w:r w:rsidR="005F7851" w:rsidRPr="0099677A">
        <w:rPr>
          <w:b w:val="0"/>
          <w:sz w:val="20"/>
        </w:rPr>
        <w:t xml:space="preserve"> However, allowing multiple starting positions in the first slot requires the UE to monitor PDCCH more often </w:t>
      </w:r>
      <w:r w:rsidR="00FC7A26" w:rsidRPr="0099677A">
        <w:rPr>
          <w:b w:val="0"/>
          <w:sz w:val="20"/>
        </w:rPr>
        <w:t xml:space="preserve">as shown in Fig. </w:t>
      </w:r>
      <w:r w:rsidR="00847AB0" w:rsidRPr="0099677A">
        <w:rPr>
          <w:b w:val="0"/>
          <w:sz w:val="20"/>
        </w:rPr>
        <w:t>7</w:t>
      </w:r>
      <w:r w:rsidR="00FC7A26" w:rsidRPr="0099677A">
        <w:rPr>
          <w:b w:val="0"/>
          <w:sz w:val="20"/>
        </w:rPr>
        <w:t xml:space="preserve"> </w:t>
      </w:r>
      <w:r w:rsidR="005F7851" w:rsidRPr="0099677A">
        <w:rPr>
          <w:b w:val="0"/>
          <w:sz w:val="20"/>
        </w:rPr>
        <w:t xml:space="preserve">which comes with a power penalty. Some mechanisms can be studied that </w:t>
      </w:r>
      <w:r w:rsidR="00FC7A26" w:rsidRPr="0099677A">
        <w:rPr>
          <w:b w:val="0"/>
          <w:sz w:val="20"/>
        </w:rPr>
        <w:t>allow multiple</w:t>
      </w:r>
      <w:r w:rsidR="005F7851" w:rsidRPr="0099677A">
        <w:rPr>
          <w:b w:val="0"/>
          <w:sz w:val="20"/>
        </w:rPr>
        <w:t xml:space="preserve"> </w:t>
      </w:r>
      <w:r w:rsidR="00FC7A26" w:rsidRPr="0099677A">
        <w:rPr>
          <w:b w:val="0"/>
          <w:sz w:val="20"/>
        </w:rPr>
        <w:t xml:space="preserve">starting </w:t>
      </w:r>
      <w:r w:rsidR="005F7851" w:rsidRPr="0099677A">
        <w:rPr>
          <w:b w:val="0"/>
          <w:sz w:val="20"/>
        </w:rPr>
        <w:t>locations</w:t>
      </w:r>
      <w:r w:rsidR="00FC7A26" w:rsidRPr="0099677A">
        <w:rPr>
          <w:b w:val="0"/>
          <w:sz w:val="20"/>
        </w:rPr>
        <w:t xml:space="preserve"> for the slot</w:t>
      </w:r>
      <w:r w:rsidR="005F7851" w:rsidRPr="0099677A">
        <w:rPr>
          <w:b w:val="0"/>
          <w:sz w:val="20"/>
        </w:rPr>
        <w:t xml:space="preserve"> </w:t>
      </w:r>
      <w:r w:rsidR="00FC7A26" w:rsidRPr="0099677A">
        <w:rPr>
          <w:b w:val="0"/>
          <w:sz w:val="20"/>
        </w:rPr>
        <w:t>but</w:t>
      </w:r>
      <w:r w:rsidR="005F7851" w:rsidRPr="0099677A">
        <w:rPr>
          <w:b w:val="0"/>
          <w:sz w:val="20"/>
        </w:rPr>
        <w:t xml:space="preserve"> reduc</w:t>
      </w:r>
      <w:r w:rsidR="00FC7A26" w:rsidRPr="0099677A">
        <w:rPr>
          <w:b w:val="0"/>
          <w:sz w:val="20"/>
        </w:rPr>
        <w:t>e</w:t>
      </w:r>
      <w:r w:rsidR="005F7851" w:rsidRPr="0099677A">
        <w:rPr>
          <w:b w:val="0"/>
          <w:sz w:val="20"/>
        </w:rPr>
        <w:t xml:space="preserve"> the power impact </w:t>
      </w:r>
      <w:r w:rsidR="00FC7A26" w:rsidRPr="0099677A">
        <w:rPr>
          <w:b w:val="0"/>
          <w:sz w:val="20"/>
        </w:rPr>
        <w:t>of</w:t>
      </w:r>
      <w:r w:rsidR="005F7851" w:rsidRPr="0099677A">
        <w:rPr>
          <w:b w:val="0"/>
          <w:sz w:val="20"/>
        </w:rPr>
        <w:t xml:space="preserve"> UE monitoring </w:t>
      </w:r>
      <w:r w:rsidR="00FC7A26" w:rsidRPr="0099677A">
        <w:rPr>
          <w:b w:val="0"/>
          <w:sz w:val="20"/>
        </w:rPr>
        <w:t xml:space="preserve">the </w:t>
      </w:r>
      <w:r w:rsidR="005F7851" w:rsidRPr="0099677A">
        <w:rPr>
          <w:b w:val="0"/>
          <w:sz w:val="20"/>
        </w:rPr>
        <w:t xml:space="preserve">PDCCH more often. </w:t>
      </w:r>
      <w:r w:rsidR="00996BD7" w:rsidRPr="0099677A">
        <w:rPr>
          <w:b w:val="0"/>
          <w:sz w:val="20"/>
        </w:rPr>
        <w:t xml:space="preserve"> For example</w:t>
      </w:r>
      <w:r w:rsidR="00FC7A26" w:rsidRPr="0099677A">
        <w:rPr>
          <w:b w:val="0"/>
          <w:sz w:val="20"/>
        </w:rPr>
        <w:t>,</w:t>
      </w:r>
      <w:r w:rsidR="00996BD7" w:rsidRPr="0099677A">
        <w:rPr>
          <w:b w:val="0"/>
          <w:sz w:val="20"/>
        </w:rPr>
        <w:t xml:space="preserve"> UE may be asked to monitor PDCCH for every mini slot prior to start of TxOP but only at slot boundary after the start of TxOP. Alternately, a wake</w:t>
      </w:r>
      <w:r w:rsidR="00EE53FE" w:rsidRPr="0099677A">
        <w:rPr>
          <w:b w:val="0"/>
          <w:sz w:val="20"/>
        </w:rPr>
        <w:t>-</w:t>
      </w:r>
      <w:r w:rsidR="00996BD7" w:rsidRPr="0099677A">
        <w:rPr>
          <w:b w:val="0"/>
          <w:sz w:val="20"/>
        </w:rPr>
        <w:t xml:space="preserve">up signal that can be detected with </w:t>
      </w:r>
      <w:r w:rsidR="00FC7A26" w:rsidRPr="0099677A">
        <w:rPr>
          <w:b w:val="0"/>
          <w:sz w:val="20"/>
        </w:rPr>
        <w:t xml:space="preserve">very </w:t>
      </w:r>
      <w:r w:rsidR="00996BD7" w:rsidRPr="0099677A">
        <w:rPr>
          <w:b w:val="0"/>
          <w:sz w:val="20"/>
        </w:rPr>
        <w:t>low power can be transmitted at the beginning of the TxOP</w:t>
      </w:r>
      <w:r w:rsidR="00FC7A26" w:rsidRPr="0099677A">
        <w:rPr>
          <w:b w:val="0"/>
          <w:sz w:val="20"/>
        </w:rPr>
        <w:t xml:space="preserve"> so UE only monitors the wake</w:t>
      </w:r>
      <w:r w:rsidR="00EE53FE" w:rsidRPr="0099677A">
        <w:rPr>
          <w:b w:val="0"/>
          <w:sz w:val="20"/>
        </w:rPr>
        <w:t>-</w:t>
      </w:r>
      <w:r w:rsidR="00FC7A26" w:rsidRPr="0099677A">
        <w:rPr>
          <w:b w:val="0"/>
          <w:sz w:val="20"/>
        </w:rPr>
        <w:t>up signal outside the TxOP</w:t>
      </w:r>
      <w:r w:rsidR="00996BD7" w:rsidRPr="0099677A">
        <w:rPr>
          <w:b w:val="0"/>
          <w:sz w:val="20"/>
        </w:rPr>
        <w:t>.</w:t>
      </w:r>
    </w:p>
    <w:bookmarkStart w:id="7" w:name="_GoBack"/>
    <w:p w14:paraId="79812ADF" w14:textId="44D79999" w:rsidR="003359E4" w:rsidRDefault="004F391C" w:rsidP="003359E4">
      <w:pPr>
        <w:pStyle w:val="LGTdoc1"/>
        <w:keepNext/>
        <w:spacing w:beforeLines="0" w:before="120" w:after="220" w:afterAutospacing="0"/>
        <w:jc w:val="center"/>
      </w:pPr>
      <w:r>
        <w:rPr>
          <w:rFonts w:ascii="Arial" w:hAnsi="Arial" w:cs="Arial"/>
          <w:lang w:val="en-US"/>
        </w:rPr>
        <w:object w:dxaOrig="12053" w:dyaOrig="3496" w14:anchorId="3D7A7043">
          <v:shape id="_x0000_i1034" type="#_x0000_t75" style="width:420.1pt;height:122.1pt" o:ole="">
            <v:imagedata r:id="rId25" o:title=""/>
          </v:shape>
          <o:OLEObject Type="Embed" ProgID="Visio.Drawing.11" ShapeID="_x0000_i1034" DrawAspect="Content" ObjectID="_1580306946" r:id="rId26"/>
        </w:object>
      </w:r>
      <w:bookmarkEnd w:id="7"/>
    </w:p>
    <w:p w14:paraId="7228CB86" w14:textId="3EFF2345" w:rsidR="0095302F" w:rsidRDefault="003359E4" w:rsidP="003359E4">
      <w:pPr>
        <w:pStyle w:val="Caption"/>
        <w:jc w:val="center"/>
      </w:pPr>
      <w:r>
        <w:t xml:space="preserve">Figure </w:t>
      </w:r>
      <w:r>
        <w:fldChar w:fldCharType="begin"/>
      </w:r>
      <w:r>
        <w:instrText xml:space="preserve"> SEQ Figure \* ARABIC </w:instrText>
      </w:r>
      <w:r>
        <w:fldChar w:fldCharType="separate"/>
      </w:r>
      <w:r w:rsidR="00847AB0">
        <w:rPr>
          <w:noProof/>
        </w:rPr>
        <w:t>7</w:t>
      </w:r>
      <w:r>
        <w:fldChar w:fldCharType="end"/>
      </w:r>
      <w:r>
        <w:t>: PDCCH monitoring with multiple starting positions for TxOP</w:t>
      </w:r>
    </w:p>
    <w:p w14:paraId="5884E08F" w14:textId="41B7A112" w:rsidR="00594582" w:rsidRPr="0099677A" w:rsidRDefault="00594582" w:rsidP="00594582">
      <w:pPr>
        <w:pStyle w:val="LGTdoc1"/>
        <w:spacing w:beforeLines="0" w:before="120" w:after="220" w:afterAutospacing="0"/>
        <w:rPr>
          <w:sz w:val="20"/>
        </w:rPr>
      </w:pPr>
      <w:r w:rsidRPr="0099677A">
        <w:rPr>
          <w:sz w:val="20"/>
          <w:u w:val="single"/>
        </w:rPr>
        <w:t>Proposal 4:</w:t>
      </w:r>
      <w:r w:rsidRPr="0099677A">
        <w:rPr>
          <w:sz w:val="20"/>
        </w:rPr>
        <w:t xml:space="preserve"> Allow multiple starting points for the first slot of a TxOP</w:t>
      </w:r>
    </w:p>
    <w:p w14:paraId="6D8E7828" w14:textId="2FE14547" w:rsidR="00594582" w:rsidRPr="0099677A" w:rsidRDefault="00594582" w:rsidP="00594582">
      <w:pPr>
        <w:pStyle w:val="LGTdoc1"/>
        <w:spacing w:beforeLines="0" w:before="120" w:after="220" w:afterAutospacing="0"/>
        <w:rPr>
          <w:sz w:val="20"/>
        </w:rPr>
      </w:pPr>
      <w:r w:rsidRPr="0099677A">
        <w:rPr>
          <w:sz w:val="20"/>
          <w:u w:val="single"/>
        </w:rPr>
        <w:t>Proposal 5:</w:t>
      </w:r>
      <w:r w:rsidRPr="0099677A">
        <w:rPr>
          <w:sz w:val="20"/>
        </w:rPr>
        <w:t xml:space="preserve"> Consider techniques such as use of wake</w:t>
      </w:r>
      <w:r w:rsidR="00EE53FE" w:rsidRPr="0099677A">
        <w:rPr>
          <w:sz w:val="20"/>
        </w:rPr>
        <w:t>-</w:t>
      </w:r>
      <w:r w:rsidRPr="0099677A">
        <w:rPr>
          <w:sz w:val="20"/>
        </w:rPr>
        <w:t>up signal to reduce power consumption impact of allowing multiple start locations for a TxOP</w:t>
      </w:r>
    </w:p>
    <w:p w14:paraId="1F083CA7" w14:textId="1E798376" w:rsidR="0095302F" w:rsidRDefault="0095302F" w:rsidP="003520EB">
      <w:pPr>
        <w:pStyle w:val="Heading1"/>
      </w:pPr>
      <w:r>
        <w:t>Summary</w:t>
      </w:r>
    </w:p>
    <w:p w14:paraId="36B5148B" w14:textId="2AB91E57" w:rsidR="00594582" w:rsidRPr="0099677A" w:rsidRDefault="00594582" w:rsidP="00594582">
      <w:pPr>
        <w:pStyle w:val="LGTdoc1"/>
        <w:spacing w:beforeLines="0" w:before="120" w:after="220" w:afterAutospacing="0"/>
        <w:rPr>
          <w:b w:val="0"/>
          <w:sz w:val="20"/>
        </w:rPr>
      </w:pPr>
      <w:r w:rsidRPr="0099677A">
        <w:rPr>
          <w:b w:val="0"/>
          <w:sz w:val="20"/>
        </w:rPr>
        <w:t>The proposals made in this contribution are summarized below.</w:t>
      </w:r>
    </w:p>
    <w:p w14:paraId="0D7E0262" w14:textId="3D681E3C" w:rsidR="00594582" w:rsidRPr="0099677A" w:rsidRDefault="00594582" w:rsidP="00ED4DA0">
      <w:pPr>
        <w:pStyle w:val="LGTdoc1"/>
        <w:spacing w:beforeLines="0" w:before="120" w:after="220" w:afterAutospacing="0"/>
        <w:rPr>
          <w:sz w:val="20"/>
        </w:rPr>
      </w:pPr>
      <w:r w:rsidRPr="0099677A">
        <w:rPr>
          <w:sz w:val="20"/>
          <w:u w:val="single"/>
        </w:rPr>
        <w:t>Proposal 1:</w:t>
      </w:r>
      <w:r w:rsidRPr="0099677A">
        <w:rPr>
          <w:sz w:val="20"/>
        </w:rPr>
        <w:t xml:space="preserve"> TxOP is structured into a preparation stage and a data transmission stage </w:t>
      </w:r>
    </w:p>
    <w:p w14:paraId="7CF14EE3" w14:textId="14AE9C89" w:rsidR="00594582" w:rsidRPr="0099677A" w:rsidRDefault="00594582" w:rsidP="00ED4DA0">
      <w:pPr>
        <w:pStyle w:val="LGTdoc1"/>
        <w:spacing w:beforeLines="0" w:before="120" w:after="220" w:afterAutospacing="0"/>
        <w:rPr>
          <w:sz w:val="20"/>
        </w:rPr>
      </w:pPr>
      <w:r w:rsidRPr="0099677A">
        <w:rPr>
          <w:sz w:val="20"/>
          <w:u w:val="single"/>
        </w:rPr>
        <w:t xml:space="preserve">Proposal 2: </w:t>
      </w:r>
      <w:r w:rsidRPr="0099677A">
        <w:rPr>
          <w:sz w:val="20"/>
        </w:rPr>
        <w:t xml:space="preserve">The preparation stage may comprise multiple DL and UL portions to exchange control information such as for CSI or channel usage indication </w:t>
      </w:r>
    </w:p>
    <w:p w14:paraId="506C5892" w14:textId="1FF8A35E" w:rsidR="00594582" w:rsidRPr="0099677A" w:rsidRDefault="00594582" w:rsidP="00ED4DA0">
      <w:pPr>
        <w:pStyle w:val="LGTdoc1"/>
        <w:spacing w:beforeLines="0" w:before="120" w:after="220" w:afterAutospacing="0"/>
        <w:rPr>
          <w:sz w:val="20"/>
        </w:rPr>
      </w:pPr>
      <w:r w:rsidRPr="0099677A">
        <w:rPr>
          <w:sz w:val="20"/>
          <w:u w:val="single"/>
        </w:rPr>
        <w:t xml:space="preserve">Proposal 3: </w:t>
      </w:r>
      <w:r w:rsidRPr="0099677A">
        <w:rPr>
          <w:sz w:val="20"/>
        </w:rPr>
        <w:t>The data transmission stage may contain multiple DL and UL switches to accommodate self-contained slots</w:t>
      </w:r>
    </w:p>
    <w:p w14:paraId="26A4B150" w14:textId="73FE538B" w:rsidR="00594582" w:rsidRPr="0099677A" w:rsidRDefault="00594582" w:rsidP="00ED4DA0">
      <w:pPr>
        <w:pStyle w:val="LGTdoc1"/>
        <w:spacing w:beforeLines="0" w:before="120" w:after="220" w:afterAutospacing="0"/>
        <w:rPr>
          <w:sz w:val="20"/>
        </w:rPr>
      </w:pPr>
      <w:r w:rsidRPr="0099677A">
        <w:rPr>
          <w:sz w:val="20"/>
          <w:u w:val="single"/>
        </w:rPr>
        <w:t>Proposal 4:</w:t>
      </w:r>
      <w:r w:rsidRPr="0099677A">
        <w:rPr>
          <w:sz w:val="20"/>
        </w:rPr>
        <w:t xml:space="preserve"> Allow multiple starting points for the first slot of a TxOP</w:t>
      </w:r>
    </w:p>
    <w:p w14:paraId="17330615" w14:textId="797BAB6D" w:rsidR="00594582" w:rsidRPr="0099677A" w:rsidRDefault="00594582" w:rsidP="00ED4DA0">
      <w:pPr>
        <w:pStyle w:val="LGTdoc1"/>
        <w:spacing w:beforeLines="0" w:before="120" w:after="220" w:afterAutospacing="0"/>
        <w:rPr>
          <w:sz w:val="20"/>
        </w:rPr>
      </w:pPr>
      <w:r w:rsidRPr="0099677A">
        <w:rPr>
          <w:sz w:val="20"/>
          <w:u w:val="single"/>
        </w:rPr>
        <w:t>Proposal 5:</w:t>
      </w:r>
      <w:r w:rsidRPr="0099677A">
        <w:rPr>
          <w:sz w:val="20"/>
        </w:rPr>
        <w:t xml:space="preserve"> Consider techniques such as use of wake</w:t>
      </w:r>
      <w:r w:rsidR="00EE53FE" w:rsidRPr="0099677A">
        <w:rPr>
          <w:sz w:val="20"/>
        </w:rPr>
        <w:t>-</w:t>
      </w:r>
      <w:r w:rsidRPr="0099677A">
        <w:rPr>
          <w:sz w:val="20"/>
        </w:rPr>
        <w:t>up signal to reduce power consumption impact of allowing multiple start locations for a TxOP</w:t>
      </w:r>
    </w:p>
    <w:p w14:paraId="5164CA8E" w14:textId="77777777" w:rsidR="00437DE3" w:rsidRDefault="00437DE3" w:rsidP="00437DE3">
      <w:pPr>
        <w:pStyle w:val="LGTdoc1"/>
        <w:spacing w:beforeLines="0" w:before="120" w:after="220" w:afterAutospacing="0"/>
        <w:rPr>
          <w:sz w:val="22"/>
        </w:rPr>
      </w:pPr>
    </w:p>
    <w:p w14:paraId="47A6B625" w14:textId="3D1C781A" w:rsidR="00E77804" w:rsidRDefault="00E77804" w:rsidP="003520EB">
      <w:pPr>
        <w:pStyle w:val="Heading1"/>
      </w:pPr>
      <w:r>
        <w:t>References</w:t>
      </w:r>
    </w:p>
    <w:p w14:paraId="2DFA7387" w14:textId="1FE2BDD6" w:rsidR="007560B7" w:rsidRPr="0099677A" w:rsidRDefault="00E77804" w:rsidP="00FF47FD">
      <w:pPr>
        <w:pStyle w:val="LGTdoc1"/>
        <w:spacing w:before="120" w:after="220"/>
        <w:rPr>
          <w:b w:val="0"/>
          <w:sz w:val="20"/>
        </w:rPr>
      </w:pPr>
      <w:r w:rsidRPr="0099677A">
        <w:rPr>
          <w:b w:val="0"/>
          <w:sz w:val="20"/>
        </w:rPr>
        <w:t xml:space="preserve">[1] </w:t>
      </w:r>
      <w:bookmarkStart w:id="8" w:name="_Hlk506453951"/>
      <w:r w:rsidR="00B559A2" w:rsidRPr="0099677A">
        <w:rPr>
          <w:b w:val="0"/>
          <w:sz w:val="20"/>
        </w:rPr>
        <w:t xml:space="preserve">RP-172021, </w:t>
      </w:r>
      <w:r w:rsidR="001D3F02" w:rsidRPr="0099677A">
        <w:rPr>
          <w:b w:val="0"/>
          <w:sz w:val="20"/>
        </w:rPr>
        <w:t>“</w:t>
      </w:r>
      <w:r w:rsidR="00B559A2" w:rsidRPr="0099677A">
        <w:rPr>
          <w:b w:val="0"/>
          <w:sz w:val="20"/>
        </w:rPr>
        <w:t>Revised SID on NR-based Access to Unlicensed Spectrum</w:t>
      </w:r>
      <w:bookmarkStart w:id="9" w:name="_Hlk506208058"/>
      <w:r w:rsidR="001D3F02" w:rsidRPr="0099677A">
        <w:rPr>
          <w:b w:val="0"/>
          <w:sz w:val="20"/>
        </w:rPr>
        <w:t>”</w:t>
      </w:r>
      <w:r w:rsidR="00B559A2" w:rsidRPr="0099677A">
        <w:rPr>
          <w:b w:val="0"/>
          <w:sz w:val="20"/>
        </w:rPr>
        <w:t>, Qualcomm Incorporated, RAN#77</w:t>
      </w:r>
      <w:bookmarkEnd w:id="9"/>
      <w:r w:rsidR="00947B6C" w:rsidRPr="0099677A">
        <w:rPr>
          <w:b w:val="0"/>
          <w:sz w:val="20"/>
        </w:rPr>
        <w:t>, Sapporo, Japan, 11-14 Sep. 2017.</w:t>
      </w:r>
    </w:p>
    <w:bookmarkEnd w:id="8"/>
    <w:p w14:paraId="2451782E" w14:textId="77777777" w:rsidR="00BB6420" w:rsidRDefault="00BB6420" w:rsidP="00FF47FD">
      <w:pPr>
        <w:pStyle w:val="LGTdoc1"/>
        <w:spacing w:before="120" w:after="220"/>
        <w:rPr>
          <w:b w:val="0"/>
          <w:sz w:val="22"/>
          <w:szCs w:val="22"/>
        </w:rPr>
      </w:pPr>
    </w:p>
    <w:sectPr w:rsidR="00BB6420" w:rsidSect="00B47B85">
      <w:footerReference w:type="even" r:id="rId27"/>
      <w:footerReference w:type="default" r:id="rId28"/>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11FD23" w14:textId="77777777" w:rsidR="009D0AEE" w:rsidRDefault="009D0AEE">
      <w:r>
        <w:separator/>
      </w:r>
    </w:p>
    <w:p w14:paraId="44291170" w14:textId="77777777" w:rsidR="009D0AEE" w:rsidRDefault="009D0AEE"/>
  </w:endnote>
  <w:endnote w:type="continuationSeparator" w:id="0">
    <w:p w14:paraId="616E4C2F" w14:textId="77777777" w:rsidR="009D0AEE" w:rsidRDefault="009D0AEE">
      <w:r>
        <w:continuationSeparator/>
      </w:r>
    </w:p>
    <w:p w14:paraId="5F6D9E6F" w14:textId="77777777" w:rsidR="009D0AEE" w:rsidRDefault="009D0AEE"/>
  </w:endnote>
  <w:endnote w:type="continuationNotice" w:id="1">
    <w:p w14:paraId="13F07F86" w14:textId="77777777" w:rsidR="009D0AEE" w:rsidRDefault="009D0AEE"/>
    <w:p w14:paraId="0C590010" w14:textId="77777777" w:rsidR="009D0AEE" w:rsidRDefault="009D0A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E53842" w:rsidRDefault="00E5384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E53842" w:rsidRDefault="00E53842">
    <w:pPr>
      <w:pStyle w:val="Footer"/>
    </w:pPr>
  </w:p>
  <w:p w14:paraId="18D3DFFA" w14:textId="77777777" w:rsidR="00E53842" w:rsidRDefault="00E5384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4E02230E" w:rsidR="00E53842" w:rsidRDefault="00E5384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F391C">
      <w:rPr>
        <w:rStyle w:val="PageNumber"/>
        <w:noProof/>
      </w:rPr>
      <w:t>5</w:t>
    </w:r>
    <w:r>
      <w:rPr>
        <w:rStyle w:val="PageNumber"/>
      </w:rPr>
      <w:fldChar w:fldCharType="end"/>
    </w:r>
  </w:p>
  <w:p w14:paraId="5BFA00B5" w14:textId="77777777" w:rsidR="00E53842" w:rsidRDefault="00E53842">
    <w:pPr>
      <w:pStyle w:val="Footer"/>
    </w:pPr>
  </w:p>
  <w:p w14:paraId="1283C71A" w14:textId="77777777" w:rsidR="00E53842" w:rsidRDefault="00E5384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9FDEBE" w14:textId="77777777" w:rsidR="009D0AEE" w:rsidRDefault="009D0AEE">
      <w:r>
        <w:separator/>
      </w:r>
    </w:p>
    <w:p w14:paraId="2931130D" w14:textId="77777777" w:rsidR="009D0AEE" w:rsidRDefault="009D0AEE"/>
  </w:footnote>
  <w:footnote w:type="continuationSeparator" w:id="0">
    <w:p w14:paraId="600BFBFC" w14:textId="77777777" w:rsidR="009D0AEE" w:rsidRDefault="009D0AEE">
      <w:r>
        <w:continuationSeparator/>
      </w:r>
    </w:p>
    <w:p w14:paraId="46CEDD9F" w14:textId="77777777" w:rsidR="009D0AEE" w:rsidRDefault="009D0AEE"/>
  </w:footnote>
  <w:footnote w:type="continuationNotice" w:id="1">
    <w:p w14:paraId="1B384076" w14:textId="77777777" w:rsidR="009D0AEE" w:rsidRDefault="009D0AEE"/>
    <w:p w14:paraId="580DA02B" w14:textId="77777777" w:rsidR="009D0AEE" w:rsidRDefault="009D0AE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C03E0"/>
    <w:multiLevelType w:val="hybridMultilevel"/>
    <w:tmpl w:val="992A8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 w15:restartNumberingAfterBreak="0">
    <w:nsid w:val="087F32A8"/>
    <w:multiLevelType w:val="hybridMultilevel"/>
    <w:tmpl w:val="3AF8C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6F41EF"/>
    <w:multiLevelType w:val="hybridMultilevel"/>
    <w:tmpl w:val="4860DF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D33492"/>
    <w:multiLevelType w:val="hybridMultilevel"/>
    <w:tmpl w:val="E9B8E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15:restartNumberingAfterBreak="0">
    <w:nsid w:val="2FF04D8A"/>
    <w:multiLevelType w:val="hybridMultilevel"/>
    <w:tmpl w:val="E58484CC"/>
    <w:lvl w:ilvl="0" w:tplc="DD9A1FF8">
      <w:start w:val="4"/>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6673EDB"/>
    <w:multiLevelType w:val="hybridMultilevel"/>
    <w:tmpl w:val="3142F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F0552E"/>
    <w:multiLevelType w:val="multilevel"/>
    <w:tmpl w:val="172EC2FC"/>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9A65FB8"/>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0" w15:restartNumberingAfterBreak="0">
    <w:nsid w:val="3B42076B"/>
    <w:multiLevelType w:val="hybridMultilevel"/>
    <w:tmpl w:val="9EF244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A5138AF"/>
    <w:multiLevelType w:val="hybridMultilevel"/>
    <w:tmpl w:val="042E91F8"/>
    <w:lvl w:ilvl="0" w:tplc="9E3E5B4C">
      <w:start w:val="3"/>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E164FD"/>
    <w:multiLevelType w:val="hybridMultilevel"/>
    <w:tmpl w:val="1BAAC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C72F53"/>
    <w:multiLevelType w:val="hybridMultilevel"/>
    <w:tmpl w:val="F0E8B7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5"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B04E23"/>
    <w:multiLevelType w:val="hybridMultilevel"/>
    <w:tmpl w:val="4D1C80E8"/>
    <w:lvl w:ilvl="0" w:tplc="670A5ED4">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5CDF30EA"/>
    <w:multiLevelType w:val="hybridMultilevel"/>
    <w:tmpl w:val="0A5CC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6B151A"/>
    <w:multiLevelType w:val="hybridMultilevel"/>
    <w:tmpl w:val="9836ED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20" w15:restartNumberingAfterBreak="0">
    <w:nsid w:val="69CA37FD"/>
    <w:multiLevelType w:val="hybridMultilevel"/>
    <w:tmpl w:val="8C2AA9AC"/>
    <w:lvl w:ilvl="0" w:tplc="E062C098">
      <w:start w:val="1"/>
      <w:numFmt w:val="bullet"/>
      <w:lvlText w:val="•"/>
      <w:lvlJc w:val="left"/>
      <w:pPr>
        <w:tabs>
          <w:tab w:val="num" w:pos="720"/>
        </w:tabs>
        <w:ind w:left="720" w:hanging="360"/>
      </w:pPr>
      <w:rPr>
        <w:rFonts w:ascii="Arial" w:hAnsi="Arial" w:cs="Times New Roman" w:hint="default"/>
      </w:rPr>
    </w:lvl>
    <w:lvl w:ilvl="1" w:tplc="9D704A78">
      <w:numFmt w:val="bullet"/>
      <w:lvlText w:val="•"/>
      <w:lvlJc w:val="left"/>
      <w:pPr>
        <w:tabs>
          <w:tab w:val="num" w:pos="1440"/>
        </w:tabs>
        <w:ind w:left="1440" w:hanging="360"/>
      </w:pPr>
      <w:rPr>
        <w:rFonts w:ascii="Arial" w:hAnsi="Arial" w:cs="Times New Roman" w:hint="default"/>
        <w:lang w:val="en-US"/>
      </w:rPr>
    </w:lvl>
    <w:lvl w:ilvl="2" w:tplc="C8C82FD2">
      <w:start w:val="1"/>
      <w:numFmt w:val="bullet"/>
      <w:lvlText w:val="•"/>
      <w:lvlJc w:val="left"/>
      <w:pPr>
        <w:tabs>
          <w:tab w:val="num" w:pos="2160"/>
        </w:tabs>
        <w:ind w:left="2160" w:hanging="360"/>
      </w:pPr>
      <w:rPr>
        <w:rFonts w:ascii="Arial" w:hAnsi="Arial" w:cs="Times New Roman" w:hint="default"/>
      </w:rPr>
    </w:lvl>
    <w:lvl w:ilvl="3" w:tplc="0CF682EC">
      <w:start w:val="1"/>
      <w:numFmt w:val="bullet"/>
      <w:lvlText w:val="•"/>
      <w:lvlJc w:val="left"/>
      <w:pPr>
        <w:tabs>
          <w:tab w:val="num" w:pos="2880"/>
        </w:tabs>
        <w:ind w:left="2880" w:hanging="360"/>
      </w:pPr>
      <w:rPr>
        <w:rFonts w:ascii="Arial" w:hAnsi="Arial" w:cs="Times New Roman" w:hint="default"/>
      </w:rPr>
    </w:lvl>
    <w:lvl w:ilvl="4" w:tplc="072EE698">
      <w:start w:val="1"/>
      <w:numFmt w:val="bullet"/>
      <w:lvlText w:val="•"/>
      <w:lvlJc w:val="left"/>
      <w:pPr>
        <w:tabs>
          <w:tab w:val="num" w:pos="3600"/>
        </w:tabs>
        <w:ind w:left="3600" w:hanging="360"/>
      </w:pPr>
      <w:rPr>
        <w:rFonts w:ascii="Arial" w:hAnsi="Arial" w:cs="Times New Roman" w:hint="default"/>
      </w:rPr>
    </w:lvl>
    <w:lvl w:ilvl="5" w:tplc="E9481BDA">
      <w:start w:val="1"/>
      <w:numFmt w:val="bullet"/>
      <w:lvlText w:val="•"/>
      <w:lvlJc w:val="left"/>
      <w:pPr>
        <w:tabs>
          <w:tab w:val="num" w:pos="4320"/>
        </w:tabs>
        <w:ind w:left="4320" w:hanging="360"/>
      </w:pPr>
      <w:rPr>
        <w:rFonts w:ascii="Arial" w:hAnsi="Arial" w:cs="Times New Roman" w:hint="default"/>
      </w:rPr>
    </w:lvl>
    <w:lvl w:ilvl="6" w:tplc="FEEA1242">
      <w:start w:val="1"/>
      <w:numFmt w:val="bullet"/>
      <w:lvlText w:val="•"/>
      <w:lvlJc w:val="left"/>
      <w:pPr>
        <w:tabs>
          <w:tab w:val="num" w:pos="5040"/>
        </w:tabs>
        <w:ind w:left="5040" w:hanging="360"/>
      </w:pPr>
      <w:rPr>
        <w:rFonts w:ascii="Arial" w:hAnsi="Arial" w:cs="Times New Roman" w:hint="default"/>
      </w:rPr>
    </w:lvl>
    <w:lvl w:ilvl="7" w:tplc="EB2A5384">
      <w:start w:val="1"/>
      <w:numFmt w:val="bullet"/>
      <w:lvlText w:val="•"/>
      <w:lvlJc w:val="left"/>
      <w:pPr>
        <w:tabs>
          <w:tab w:val="num" w:pos="5760"/>
        </w:tabs>
        <w:ind w:left="5760" w:hanging="360"/>
      </w:pPr>
      <w:rPr>
        <w:rFonts w:ascii="Arial" w:hAnsi="Arial" w:cs="Times New Roman" w:hint="default"/>
      </w:rPr>
    </w:lvl>
    <w:lvl w:ilvl="8" w:tplc="5A106AAE">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23"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8"/>
  </w:num>
  <w:num w:numId="2">
    <w:abstractNumId w:val="5"/>
  </w:num>
  <w:num w:numId="3">
    <w:abstractNumId w:val="14"/>
  </w:num>
  <w:num w:numId="4">
    <w:abstractNumId w:val="21"/>
  </w:num>
  <w:num w:numId="5">
    <w:abstractNumId w:val="22"/>
  </w:num>
  <w:num w:numId="6">
    <w:abstractNumId w:val="1"/>
  </w:num>
  <w:num w:numId="7">
    <w:abstractNumId w:val="23"/>
  </w:num>
  <w:num w:numId="8">
    <w:abstractNumId w:val="19"/>
  </w:num>
  <w:num w:numId="9">
    <w:abstractNumId w:val="17"/>
  </w:num>
  <w:num w:numId="10">
    <w:abstractNumId w:val="18"/>
  </w:num>
  <w:num w:numId="11">
    <w:abstractNumId w:val="13"/>
  </w:num>
  <w:num w:numId="12">
    <w:abstractNumId w:val="12"/>
  </w:num>
  <w:num w:numId="13">
    <w:abstractNumId w:val="0"/>
  </w:num>
  <w:num w:numId="14">
    <w:abstractNumId w:val="7"/>
  </w:num>
  <w:num w:numId="15">
    <w:abstractNumId w:val="6"/>
  </w:num>
  <w:num w:numId="16">
    <w:abstractNumId w:val="20"/>
  </w:num>
  <w:num w:numId="17">
    <w:abstractNumId w:val="11"/>
  </w:num>
  <w:num w:numId="18">
    <w:abstractNumId w:val="4"/>
  </w:num>
  <w:num w:numId="19">
    <w:abstractNumId w:val="15"/>
  </w:num>
  <w:num w:numId="20">
    <w:abstractNumId w:val="16"/>
  </w:num>
  <w:num w:numId="21">
    <w:abstractNumId w:val="9"/>
  </w:num>
  <w:num w:numId="22">
    <w:abstractNumId w:val="2"/>
  </w:num>
  <w:num w:numId="23">
    <w:abstractNumId w:val="10"/>
  </w:num>
  <w:num w:numId="2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1FFA"/>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545"/>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B21"/>
    <w:rsid w:val="00153E84"/>
    <w:rsid w:val="0015407C"/>
    <w:rsid w:val="001549FA"/>
    <w:rsid w:val="00154A2C"/>
    <w:rsid w:val="0015509A"/>
    <w:rsid w:val="0015524F"/>
    <w:rsid w:val="0015541E"/>
    <w:rsid w:val="001556B0"/>
    <w:rsid w:val="001557DC"/>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2B7B"/>
    <w:rsid w:val="001D3007"/>
    <w:rsid w:val="001D3734"/>
    <w:rsid w:val="001D3BE2"/>
    <w:rsid w:val="001D3F0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4A22"/>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322"/>
    <w:rsid w:val="00230720"/>
    <w:rsid w:val="00230850"/>
    <w:rsid w:val="00230F24"/>
    <w:rsid w:val="00230FBF"/>
    <w:rsid w:val="00231245"/>
    <w:rsid w:val="002313F4"/>
    <w:rsid w:val="00231518"/>
    <w:rsid w:val="0023174C"/>
    <w:rsid w:val="00231D8B"/>
    <w:rsid w:val="00231D94"/>
    <w:rsid w:val="00231E8A"/>
    <w:rsid w:val="00231ECB"/>
    <w:rsid w:val="002324F5"/>
    <w:rsid w:val="0023263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710"/>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2E50"/>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50B"/>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7E8"/>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9E4"/>
    <w:rsid w:val="00335B11"/>
    <w:rsid w:val="00335D21"/>
    <w:rsid w:val="00335FDF"/>
    <w:rsid w:val="00336451"/>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0EB"/>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3DF"/>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2DC"/>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440"/>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BDF"/>
    <w:rsid w:val="00465DF8"/>
    <w:rsid w:val="00465E2F"/>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1BD"/>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895"/>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2B1"/>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91C"/>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6F3"/>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490"/>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09C"/>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582"/>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851"/>
    <w:rsid w:val="005F7E08"/>
    <w:rsid w:val="006000F2"/>
    <w:rsid w:val="006003A7"/>
    <w:rsid w:val="00600547"/>
    <w:rsid w:val="00600D9C"/>
    <w:rsid w:val="006013EE"/>
    <w:rsid w:val="006015FB"/>
    <w:rsid w:val="0060161F"/>
    <w:rsid w:val="006018C2"/>
    <w:rsid w:val="00602081"/>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9AA"/>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0F5E"/>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2A2B"/>
    <w:rsid w:val="006733C7"/>
    <w:rsid w:val="006737B1"/>
    <w:rsid w:val="00673EE6"/>
    <w:rsid w:val="0067415F"/>
    <w:rsid w:val="0067429D"/>
    <w:rsid w:val="00674737"/>
    <w:rsid w:val="00674A09"/>
    <w:rsid w:val="00674EE0"/>
    <w:rsid w:val="0067547A"/>
    <w:rsid w:val="006757A4"/>
    <w:rsid w:val="0067589B"/>
    <w:rsid w:val="0067605E"/>
    <w:rsid w:val="00676AB6"/>
    <w:rsid w:val="00676EB1"/>
    <w:rsid w:val="00677107"/>
    <w:rsid w:val="0067736E"/>
    <w:rsid w:val="006773CC"/>
    <w:rsid w:val="0067795A"/>
    <w:rsid w:val="0067797C"/>
    <w:rsid w:val="00680018"/>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4D3"/>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16F"/>
    <w:rsid w:val="006B438F"/>
    <w:rsid w:val="006B4473"/>
    <w:rsid w:val="006B4F32"/>
    <w:rsid w:val="006B5A51"/>
    <w:rsid w:val="006B6065"/>
    <w:rsid w:val="006B606B"/>
    <w:rsid w:val="006B6237"/>
    <w:rsid w:val="006B67D4"/>
    <w:rsid w:val="006B68F5"/>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6EBE"/>
    <w:rsid w:val="006C701B"/>
    <w:rsid w:val="006C726A"/>
    <w:rsid w:val="006C75F3"/>
    <w:rsid w:val="006C7BB7"/>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4D0F"/>
    <w:rsid w:val="00705DC1"/>
    <w:rsid w:val="0070616B"/>
    <w:rsid w:val="007064DF"/>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73"/>
    <w:rsid w:val="007264DE"/>
    <w:rsid w:val="00726917"/>
    <w:rsid w:val="0072698F"/>
    <w:rsid w:val="007269A0"/>
    <w:rsid w:val="00726B56"/>
    <w:rsid w:val="00726DDF"/>
    <w:rsid w:val="00726E33"/>
    <w:rsid w:val="007272EA"/>
    <w:rsid w:val="007278BE"/>
    <w:rsid w:val="00727A74"/>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5DC1"/>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8EF"/>
    <w:rsid w:val="00746C34"/>
    <w:rsid w:val="00746CB9"/>
    <w:rsid w:val="00746DBB"/>
    <w:rsid w:val="00746F85"/>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959"/>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065"/>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5E8"/>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0DE"/>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A98"/>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B0"/>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1E"/>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2D9"/>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6F71"/>
    <w:rsid w:val="008A701E"/>
    <w:rsid w:val="008A7119"/>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4BE"/>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47B6C"/>
    <w:rsid w:val="00951292"/>
    <w:rsid w:val="009518D6"/>
    <w:rsid w:val="00951D39"/>
    <w:rsid w:val="00951FA8"/>
    <w:rsid w:val="009520CF"/>
    <w:rsid w:val="00952379"/>
    <w:rsid w:val="0095244A"/>
    <w:rsid w:val="00952559"/>
    <w:rsid w:val="0095268F"/>
    <w:rsid w:val="0095302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A2A"/>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77A"/>
    <w:rsid w:val="00996A3E"/>
    <w:rsid w:val="00996BD7"/>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AEE"/>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4E3"/>
    <w:rsid w:val="009F7511"/>
    <w:rsid w:val="009F773D"/>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2FDC"/>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813"/>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8D4"/>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46"/>
    <w:rsid w:val="00AF54F6"/>
    <w:rsid w:val="00AF59F4"/>
    <w:rsid w:val="00AF6044"/>
    <w:rsid w:val="00AF6056"/>
    <w:rsid w:val="00AF637F"/>
    <w:rsid w:val="00AF638E"/>
    <w:rsid w:val="00AF6577"/>
    <w:rsid w:val="00AF6F60"/>
    <w:rsid w:val="00AF77CF"/>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8DF"/>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902"/>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437"/>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423"/>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8A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97E"/>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EAE"/>
    <w:rsid w:val="00BB5128"/>
    <w:rsid w:val="00BB53AB"/>
    <w:rsid w:val="00BB60D9"/>
    <w:rsid w:val="00BB6420"/>
    <w:rsid w:val="00BB64E7"/>
    <w:rsid w:val="00BB6528"/>
    <w:rsid w:val="00BB6C1B"/>
    <w:rsid w:val="00BB744C"/>
    <w:rsid w:val="00BB78BA"/>
    <w:rsid w:val="00BB7BCE"/>
    <w:rsid w:val="00BC0723"/>
    <w:rsid w:val="00BC098D"/>
    <w:rsid w:val="00BC0D75"/>
    <w:rsid w:val="00BC105F"/>
    <w:rsid w:val="00BC1174"/>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2A9"/>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69"/>
    <w:rsid w:val="00C74077"/>
    <w:rsid w:val="00C74264"/>
    <w:rsid w:val="00C748B0"/>
    <w:rsid w:val="00C75420"/>
    <w:rsid w:val="00C75C1D"/>
    <w:rsid w:val="00C75C9E"/>
    <w:rsid w:val="00C76571"/>
    <w:rsid w:val="00C769F5"/>
    <w:rsid w:val="00C76BF8"/>
    <w:rsid w:val="00C76C6C"/>
    <w:rsid w:val="00C771BE"/>
    <w:rsid w:val="00C77E97"/>
    <w:rsid w:val="00C77ED0"/>
    <w:rsid w:val="00C80074"/>
    <w:rsid w:val="00C80155"/>
    <w:rsid w:val="00C80612"/>
    <w:rsid w:val="00C80852"/>
    <w:rsid w:val="00C809ED"/>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3E55"/>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3D5"/>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6A8E"/>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32E"/>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3F7E"/>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0FE7"/>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0CB"/>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0D2C"/>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59"/>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3842"/>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4DA0"/>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3FE"/>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52FE"/>
    <w:rsid w:val="00F05D8B"/>
    <w:rsid w:val="00F05FC5"/>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C27"/>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3ED"/>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C7A26"/>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35A"/>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69902600">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3EQ6UJ4K66FU-4-3852</_dlc_DocId>
    <_dlc_DocIdUrl xmlns="df4eea7b-52db-4162-980b-b352f1b580a3">
      <Url>https://projects.qualcomm.com/sites/meridian/_layouts/15/DocIdRedir.aspx?ID=3EQ6UJ4K66FU-4-3852</Url>
      <Description>3EQ6UJ4K66FU-4-3852</Description>
    </_dlc_DocIdUrl>
    <IconOverlay xmlns="http://schemas.microsoft.com/sharepoint/v4"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98EC8C-C020-4D65-B859-97DC6714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441935-4644-45CB-848D-32FF54027708}">
  <ds:schemaRef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sharepoint/v4"/>
    <ds:schemaRef ds:uri="http://schemas.microsoft.com/office/2006/documentManagement/types"/>
    <ds:schemaRef ds:uri="df4eea7b-52db-4162-980b-b352f1b580a3"/>
    <ds:schemaRef ds:uri="http://www.w3.org/XML/1998/namespace"/>
    <ds:schemaRef ds:uri="http://purl.org/dc/terms/"/>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C70FC0C1-B90F-4B9E-9BFE-993FFA127184}">
  <ds:schemaRefs>
    <ds:schemaRef ds:uri="http://schemas.openxmlformats.org/officeDocument/2006/bibliography"/>
  </ds:schemaRefs>
</ds:datastoreItem>
</file>

<file path=customXml/itemProps5.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6.xml><?xml version="1.0" encoding="utf-8"?>
<ds:datastoreItem xmlns:ds="http://schemas.openxmlformats.org/officeDocument/2006/customXml" ds:itemID="{26D660F0-8BCC-4C67-8498-AD9272455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2650</TotalTime>
  <Pages>5</Pages>
  <Words>2057</Words>
  <Characters>10700</Characters>
  <Application>Microsoft Office Word</Application>
  <DocSecurity>0</DocSecurity>
  <Lines>89</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12732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Jing Sun</cp:lastModifiedBy>
  <cp:revision>40</cp:revision>
  <cp:lastPrinted>2010-08-13T21:54:00Z</cp:lastPrinted>
  <dcterms:created xsi:type="dcterms:W3CDTF">2017-12-19T08:06:00Z</dcterms:created>
  <dcterms:modified xsi:type="dcterms:W3CDTF">2018-02-17T01:22:00Z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1ae36927-d0fd-4134-8675-f622af5586b9</vt:lpwstr>
  </property>
  <property fmtid="{D5CDD505-2E9C-101B-9397-08002B2CF9AE}" pid="4" name="_AdHocReviewCycleID">
    <vt:i4>-222175247</vt:i4>
  </property>
  <property fmtid="{D5CDD505-2E9C-101B-9397-08002B2CF9AE}" pid="5" name="_NewReviewCycle">
    <vt:lpwstr/>
  </property>
  <property fmtid="{D5CDD505-2E9C-101B-9397-08002B2CF9AE}" pid="6" name="_EmailSubject">
    <vt:lpwstr>Contribution drafts</vt:lpwstr>
  </property>
  <property fmtid="{D5CDD505-2E9C-101B-9397-08002B2CF9AE}" pid="7" name="_AuthorEmail">
    <vt:lpwstr>anantana@qti.qualcomm.com</vt:lpwstr>
  </property>
  <property fmtid="{D5CDD505-2E9C-101B-9397-08002B2CF9AE}" pid="8" name="_AuthorEmailDisplayName">
    <vt:lpwstr>Ananta Narayanan Thyagarajan</vt:lpwstr>
  </property>
  <property fmtid="{D5CDD505-2E9C-101B-9397-08002B2CF9AE}" pid="9" name="_ReviewingToolsShownOnce">
    <vt:lpwstr/>
  </property>
</Properties>
</file>